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781" w:rsidRPr="004F2781" w:rsidRDefault="004F2781" w:rsidP="004F2781">
      <w:pPr>
        <w:spacing w:after="0"/>
        <w:ind w:left="360" w:hanging="360"/>
        <w:jc w:val="right"/>
        <w:rPr>
          <w:rFonts w:ascii="GHEA Grapalat" w:hAnsi="GHEA Grapalat"/>
          <w:noProof/>
          <w:kern w:val="2"/>
          <w:sz w:val="24"/>
          <w:szCs w:val="24"/>
          <w:lang w:val="en-US"/>
        </w:rPr>
      </w:pPr>
      <w:r w:rsidRPr="004F2781">
        <w:rPr>
          <w:rFonts w:ascii="GHEA Grapalat" w:hAnsi="GHEA Grapalat"/>
          <w:noProof/>
          <w:kern w:val="2"/>
          <w:sz w:val="24"/>
          <w:szCs w:val="24"/>
          <w:lang w:val="en-US"/>
        </w:rPr>
        <w:t>Հավելված N 1</w:t>
      </w:r>
    </w:p>
    <w:p w:rsidR="004F2781" w:rsidRPr="004F2781" w:rsidRDefault="004F2781" w:rsidP="004F2781">
      <w:pPr>
        <w:spacing w:after="0"/>
        <w:ind w:left="360" w:hanging="360"/>
        <w:jc w:val="right"/>
        <w:rPr>
          <w:rFonts w:ascii="GHEA Grapalat" w:hAnsi="GHEA Grapalat"/>
          <w:noProof/>
          <w:kern w:val="2"/>
          <w:sz w:val="24"/>
          <w:szCs w:val="24"/>
          <w:lang w:val="en-US"/>
        </w:rPr>
      </w:pPr>
      <w:r w:rsidRPr="004F2781">
        <w:rPr>
          <w:rFonts w:ascii="GHEA Grapalat" w:hAnsi="GHEA Grapalat"/>
          <w:noProof/>
          <w:kern w:val="2"/>
          <w:sz w:val="24"/>
          <w:szCs w:val="24"/>
          <w:lang w:val="en-US"/>
        </w:rPr>
        <w:t>Արդարադատության նախարարի</w:t>
      </w:r>
    </w:p>
    <w:p w:rsidR="004F2781" w:rsidRPr="004F2781" w:rsidRDefault="004F2781" w:rsidP="004F2781">
      <w:pPr>
        <w:spacing w:after="0"/>
        <w:ind w:left="360" w:hanging="360"/>
        <w:jc w:val="right"/>
        <w:rPr>
          <w:rFonts w:ascii="GHEA Grapalat" w:hAnsi="GHEA Grapalat"/>
          <w:noProof/>
          <w:kern w:val="2"/>
          <w:sz w:val="24"/>
          <w:szCs w:val="24"/>
          <w:lang w:val="en-US"/>
        </w:rPr>
      </w:pPr>
      <w:r>
        <w:rPr>
          <w:rFonts w:ascii="GHEA Grapalat" w:hAnsi="GHEA Grapalat"/>
          <w:noProof/>
          <w:kern w:val="2"/>
          <w:sz w:val="24"/>
          <w:szCs w:val="24"/>
          <w:lang w:val="en-US"/>
        </w:rPr>
        <w:t>2023</w:t>
      </w:r>
      <w:r w:rsidRPr="004F2781">
        <w:rPr>
          <w:rFonts w:ascii="GHEA Grapalat" w:hAnsi="GHEA Grapalat"/>
          <w:noProof/>
          <w:kern w:val="2"/>
          <w:sz w:val="24"/>
          <w:szCs w:val="24"/>
          <w:lang w:val="en-US"/>
        </w:rPr>
        <w:t xml:space="preserve"> թվականի </w:t>
      </w:r>
      <w:r>
        <w:rPr>
          <w:rFonts w:ascii="GHEA Grapalat" w:hAnsi="GHEA Grapalat"/>
          <w:noProof/>
          <w:kern w:val="2"/>
          <w:sz w:val="24"/>
          <w:szCs w:val="24"/>
          <w:lang w:val="en-US"/>
        </w:rPr>
        <w:t>հոկտեմբեր</w:t>
      </w:r>
      <w:r w:rsidRPr="004F2781">
        <w:rPr>
          <w:rFonts w:ascii="GHEA Grapalat" w:hAnsi="GHEA Grapalat"/>
          <w:noProof/>
          <w:kern w:val="2"/>
          <w:sz w:val="24"/>
          <w:szCs w:val="24"/>
          <w:lang w:val="en-US"/>
        </w:rPr>
        <w:t>ի 25-ի</w:t>
      </w:r>
    </w:p>
    <w:p w:rsidR="004F2781" w:rsidRPr="004F2781" w:rsidRDefault="004F2781" w:rsidP="004F2781">
      <w:pPr>
        <w:spacing w:after="0"/>
        <w:jc w:val="right"/>
        <w:rPr>
          <w:rFonts w:ascii="GHEA Grapalat" w:hAnsi="GHEA Grapalat"/>
          <w:noProof/>
          <w:kern w:val="2"/>
          <w:sz w:val="24"/>
          <w:szCs w:val="24"/>
          <w:lang w:val="en-US"/>
        </w:rPr>
      </w:pPr>
      <w:r>
        <w:rPr>
          <w:rFonts w:ascii="GHEA Grapalat" w:hAnsi="GHEA Grapalat"/>
          <w:noProof/>
          <w:kern w:val="2"/>
          <w:sz w:val="24"/>
          <w:szCs w:val="24"/>
          <w:lang w:val="en-US"/>
        </w:rPr>
        <w:t>N 631</w:t>
      </w:r>
      <w:r w:rsidRPr="004F2781">
        <w:rPr>
          <w:rFonts w:ascii="GHEA Grapalat" w:hAnsi="GHEA Grapalat"/>
          <w:noProof/>
          <w:kern w:val="2"/>
          <w:sz w:val="24"/>
          <w:szCs w:val="24"/>
          <w:lang w:val="en-US"/>
        </w:rPr>
        <w:t>-Լ հրամանի</w:t>
      </w:r>
    </w:p>
    <w:p w:rsidR="004F2781" w:rsidRPr="004F2781" w:rsidRDefault="004F2781" w:rsidP="004F2781">
      <w:pPr>
        <w:spacing w:after="0" w:line="360" w:lineRule="auto"/>
        <w:jc w:val="center"/>
        <w:rPr>
          <w:rFonts w:ascii="GHEA Grapalat" w:hAnsi="GHEA Grapalat"/>
          <w:noProof/>
          <w:kern w:val="2"/>
          <w:sz w:val="24"/>
          <w:szCs w:val="24"/>
          <w:lang w:val="en-US"/>
        </w:rPr>
      </w:pPr>
    </w:p>
    <w:p w:rsidR="004F2781" w:rsidRDefault="004F2781" w:rsidP="004F2781">
      <w:pPr>
        <w:spacing w:after="0"/>
        <w:jc w:val="center"/>
        <w:rPr>
          <w:rFonts w:ascii="GHEA Grapalat" w:hAnsi="GHEA Grapalat"/>
          <w:b/>
          <w:bCs/>
          <w:noProof/>
          <w:sz w:val="24"/>
          <w:szCs w:val="24"/>
          <w:lang w:val="en-US"/>
        </w:rPr>
      </w:pPr>
    </w:p>
    <w:p w:rsidR="004F2781" w:rsidRDefault="004F2781" w:rsidP="004F2781">
      <w:pPr>
        <w:spacing w:after="0"/>
        <w:jc w:val="center"/>
        <w:rPr>
          <w:rFonts w:ascii="GHEA Grapalat" w:hAnsi="GHEA Grapalat"/>
          <w:b/>
          <w:bCs/>
          <w:noProof/>
          <w:sz w:val="24"/>
          <w:szCs w:val="24"/>
          <w:lang w:val="en-US"/>
        </w:rPr>
      </w:pPr>
    </w:p>
    <w:p w:rsidR="004F2781" w:rsidRDefault="004F2781" w:rsidP="004F2781">
      <w:pPr>
        <w:spacing w:after="0"/>
        <w:jc w:val="center"/>
        <w:rPr>
          <w:rFonts w:ascii="GHEA Grapalat" w:hAnsi="GHEA Grapalat"/>
          <w:b/>
          <w:bCs/>
          <w:noProof/>
          <w:sz w:val="24"/>
          <w:szCs w:val="24"/>
          <w:lang w:val="en-US"/>
        </w:rPr>
      </w:pPr>
      <w:r>
        <w:rPr>
          <w:rFonts w:ascii="GHEA Grapalat" w:hAnsi="GHEA Grapalat"/>
          <w:b/>
          <w:bCs/>
          <w:noProof/>
          <w:sz w:val="24"/>
          <w:szCs w:val="24"/>
          <w:lang w:val="en-US"/>
        </w:rPr>
        <w:t>ԿԱՐԳ</w:t>
      </w:r>
    </w:p>
    <w:p w:rsidR="004F2781" w:rsidRDefault="004F2781" w:rsidP="004F2781">
      <w:pPr>
        <w:spacing w:after="0"/>
        <w:jc w:val="center"/>
        <w:rPr>
          <w:rFonts w:ascii="GHEA Grapalat" w:hAnsi="GHEA Grapalat"/>
          <w:b/>
          <w:bCs/>
          <w:noProof/>
          <w:sz w:val="24"/>
          <w:szCs w:val="24"/>
          <w:lang w:val="en-US"/>
        </w:rPr>
      </w:pPr>
      <w:r>
        <w:rPr>
          <w:rFonts w:ascii="GHEA Grapalat" w:hAnsi="GHEA Grapalat"/>
          <w:b/>
          <w:bCs/>
          <w:noProof/>
          <w:sz w:val="24"/>
          <w:szCs w:val="24"/>
          <w:lang w:val="en-US"/>
        </w:rPr>
        <w:t>ԱՐԴԱՐԱԴԱՏՈՒԹՅԱՆ ՆԱԽԱՐԱՐՈՒԹՅԱՆ ՔՐԵԱԿԱՏԱՐՈՂԱԿԱՆ ՀԻՄՆԱՐԿՆԵՐՈՒՄ ԻՆՔՆԱՍՊԱՆՈՒԹՅԱՆ ԵՎ ԻՆՔՆԱՎՆԱՍՄԱՆ ՌԻՍԿԻ ԶՆՆՈՒԹՅԱՆ ԵՎ ԳՆԱՀԱՏՄԱՆ</w:t>
      </w:r>
    </w:p>
    <w:p w:rsidR="004F2781" w:rsidRDefault="004F2781" w:rsidP="004F2781">
      <w:pPr>
        <w:spacing w:after="0" w:line="360" w:lineRule="auto"/>
        <w:ind w:firstLine="709"/>
        <w:jc w:val="center"/>
        <w:rPr>
          <w:rFonts w:ascii="GHEA Grapalat" w:hAnsi="GHEA Grapalat"/>
          <w:noProof/>
          <w:sz w:val="24"/>
          <w:szCs w:val="24"/>
          <w:lang w:val="en-US"/>
        </w:rPr>
      </w:pP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 xml:space="preserve">Քրեակատարողական հիմնարկ ընդունված կամ տեղափոխված կալանավորված անձիք կամ դատապարտյալները (այսուհետ՝ Ազատությունից զրկված անձ) քրեակատարողական հիմնարկ մուտք գործելու պահին անհապաղ, բայց ոչ ուշ, քան 24 ժամվա ընթացքում ենթարկվում են ինքնասպանության և ինքնավնասման ռիսկի առաջնային գնահատման (այսուհետ՝ Առաջնային գնահատում) </w:t>
      </w:r>
      <w:r>
        <w:rPr>
          <w:rFonts w:ascii="GHEA Grapalat" w:hAnsi="GHEA Grapalat"/>
          <w:color w:val="000000"/>
          <w:sz w:val="24"/>
          <w:szCs w:val="24"/>
          <w:shd w:val="clear" w:color="auto" w:fill="FFFFFF"/>
        </w:rPr>
        <w:t>պատասխանատու</w:t>
      </w:r>
      <w:r>
        <w:rPr>
          <w:rFonts w:ascii="GHEA Grapalat" w:hAnsi="GHEA Grapalat"/>
          <w:color w:val="000000"/>
          <w:sz w:val="24"/>
          <w:szCs w:val="24"/>
          <w:shd w:val="clear" w:color="auto" w:fill="FFFFFF"/>
          <w:lang w:val="en-US"/>
        </w:rPr>
        <w:t xml:space="preserve"> </w:t>
      </w:r>
      <w:r>
        <w:rPr>
          <w:rFonts w:ascii="GHEA Grapalat" w:hAnsi="GHEA Grapalat"/>
          <w:color w:val="000000"/>
          <w:sz w:val="24"/>
          <w:szCs w:val="24"/>
          <w:shd w:val="clear" w:color="auto" w:fill="FFFFFF"/>
        </w:rPr>
        <w:t>հերթապահի</w:t>
      </w:r>
      <w:r>
        <w:rPr>
          <w:rFonts w:ascii="GHEA Grapalat" w:hAnsi="GHEA Grapalat"/>
          <w:color w:val="000000"/>
          <w:sz w:val="24"/>
          <w:szCs w:val="24"/>
          <w:shd w:val="clear" w:color="auto" w:fill="FFFFFF"/>
          <w:lang w:val="en-US"/>
        </w:rPr>
        <w:t xml:space="preserve"> (</w:t>
      </w:r>
      <w:r>
        <w:rPr>
          <w:rFonts w:ascii="GHEA Grapalat" w:hAnsi="GHEA Grapalat"/>
          <w:color w:val="000000"/>
          <w:sz w:val="24"/>
          <w:szCs w:val="24"/>
          <w:shd w:val="clear" w:color="auto" w:fill="FFFFFF"/>
        </w:rPr>
        <w:t>անհնարինության</w:t>
      </w:r>
      <w:r>
        <w:rPr>
          <w:rFonts w:ascii="GHEA Grapalat" w:hAnsi="GHEA Grapalat"/>
          <w:color w:val="000000"/>
          <w:sz w:val="24"/>
          <w:szCs w:val="24"/>
          <w:shd w:val="clear" w:color="auto" w:fill="FFFFFF"/>
          <w:lang w:val="en-US"/>
        </w:rPr>
        <w:t xml:space="preserve"> </w:t>
      </w:r>
      <w:r>
        <w:rPr>
          <w:rFonts w:ascii="GHEA Grapalat" w:hAnsi="GHEA Grapalat"/>
          <w:color w:val="000000"/>
          <w:sz w:val="24"/>
          <w:szCs w:val="24"/>
          <w:shd w:val="clear" w:color="auto" w:fill="FFFFFF"/>
        </w:rPr>
        <w:t>դեպքում՝</w:t>
      </w:r>
      <w:r>
        <w:rPr>
          <w:rFonts w:ascii="GHEA Grapalat" w:hAnsi="GHEA Grapalat"/>
          <w:color w:val="000000"/>
          <w:sz w:val="24"/>
          <w:szCs w:val="24"/>
          <w:shd w:val="clear" w:color="auto" w:fill="FFFFFF"/>
          <w:lang w:val="en-US"/>
        </w:rPr>
        <w:t xml:space="preserve"> </w:t>
      </w:r>
      <w:r>
        <w:rPr>
          <w:rFonts w:ascii="GHEA Grapalat" w:hAnsi="GHEA Grapalat"/>
          <w:color w:val="000000"/>
          <w:sz w:val="24"/>
          <w:szCs w:val="24"/>
          <w:shd w:val="clear" w:color="auto" w:fill="FFFFFF"/>
        </w:rPr>
        <w:t>իր</w:t>
      </w:r>
      <w:r>
        <w:rPr>
          <w:rFonts w:ascii="GHEA Grapalat" w:hAnsi="GHEA Grapalat"/>
          <w:color w:val="000000"/>
          <w:sz w:val="24"/>
          <w:szCs w:val="24"/>
          <w:shd w:val="clear" w:color="auto" w:fill="FFFFFF"/>
          <w:lang w:val="en-US"/>
        </w:rPr>
        <w:t xml:space="preserve"> </w:t>
      </w:r>
      <w:r>
        <w:rPr>
          <w:rFonts w:ascii="GHEA Grapalat" w:hAnsi="GHEA Grapalat"/>
          <w:color w:val="000000"/>
          <w:sz w:val="24"/>
          <w:szCs w:val="24"/>
          <w:shd w:val="clear" w:color="auto" w:fill="FFFFFF"/>
        </w:rPr>
        <w:t>կողմից</w:t>
      </w:r>
      <w:r>
        <w:rPr>
          <w:rFonts w:ascii="GHEA Grapalat" w:hAnsi="GHEA Grapalat"/>
          <w:color w:val="000000"/>
          <w:sz w:val="24"/>
          <w:szCs w:val="24"/>
          <w:shd w:val="clear" w:color="auto" w:fill="FFFFFF"/>
          <w:lang w:val="en-US"/>
        </w:rPr>
        <w:t xml:space="preserve"> </w:t>
      </w:r>
      <w:r>
        <w:rPr>
          <w:rFonts w:ascii="GHEA Grapalat" w:hAnsi="GHEA Grapalat"/>
          <w:color w:val="000000"/>
          <w:sz w:val="24"/>
          <w:szCs w:val="24"/>
          <w:shd w:val="clear" w:color="auto" w:fill="FFFFFF"/>
        </w:rPr>
        <w:t>նշանակված</w:t>
      </w:r>
      <w:r>
        <w:rPr>
          <w:rFonts w:ascii="GHEA Grapalat" w:hAnsi="GHEA Grapalat"/>
          <w:color w:val="000000"/>
          <w:sz w:val="24"/>
          <w:szCs w:val="24"/>
          <w:shd w:val="clear" w:color="auto" w:fill="FFFFFF"/>
          <w:lang w:val="en-US"/>
        </w:rPr>
        <w:t xml:space="preserve"> </w:t>
      </w:r>
      <w:r>
        <w:rPr>
          <w:rFonts w:ascii="GHEA Grapalat" w:hAnsi="GHEA Grapalat"/>
          <w:color w:val="000000"/>
          <w:sz w:val="24"/>
          <w:szCs w:val="24"/>
          <w:shd w:val="clear" w:color="auto" w:fill="FFFFFF"/>
        </w:rPr>
        <w:t>անձի</w:t>
      </w:r>
      <w:r>
        <w:rPr>
          <w:rFonts w:ascii="GHEA Grapalat" w:hAnsi="GHEA Grapalat"/>
          <w:color w:val="000000"/>
          <w:sz w:val="24"/>
          <w:szCs w:val="24"/>
          <w:shd w:val="clear" w:color="auto" w:fill="FFFFFF"/>
          <w:lang w:val="en-US"/>
        </w:rPr>
        <w:t xml:space="preserve">) </w:t>
      </w:r>
      <w:r>
        <w:rPr>
          <w:rFonts w:ascii="GHEA Grapalat" w:hAnsi="GHEA Grapalat"/>
          <w:color w:val="000000"/>
          <w:sz w:val="24"/>
          <w:szCs w:val="24"/>
          <w:shd w:val="clear" w:color="auto" w:fill="FFFFFF"/>
        </w:rPr>
        <w:t>կողմից</w:t>
      </w:r>
      <w:r>
        <w:rPr>
          <w:rFonts w:ascii="GHEA Grapalat" w:hAnsi="GHEA Grapalat"/>
          <w:color w:val="000000"/>
          <w:sz w:val="24"/>
          <w:szCs w:val="24"/>
          <w:shd w:val="clear" w:color="auto" w:fill="FFFFFF"/>
          <w:lang w:val="en-US"/>
        </w:rPr>
        <w:t>:</w:t>
      </w:r>
      <w:r>
        <w:rPr>
          <w:rFonts w:ascii="Arial" w:hAnsi="Arial" w:cs="Arial"/>
          <w:color w:val="000000"/>
          <w:sz w:val="24"/>
          <w:szCs w:val="24"/>
          <w:shd w:val="clear" w:color="auto" w:fill="FFFFFF"/>
          <w:lang w:val="en-US"/>
        </w:rPr>
        <w:t> </w:t>
      </w:r>
      <w:r>
        <w:rPr>
          <w:rFonts w:ascii="GHEA Grapalat" w:hAnsi="GHEA Grapalat"/>
          <w:noProof/>
          <w:sz w:val="24"/>
          <w:szCs w:val="24"/>
          <w:lang w:val="en-US"/>
        </w:rPr>
        <w:t xml:space="preserve"> </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 xml:space="preserve">Առաջնային գնահատման  գործիք չի կիրառվում ցածր անվտանգային գոտու մեղմ պայմաններում պատիժ կրող՝ առանց պահակախմբի կամ առանց ուղեկցորդման քրեակատարողական հիմնարկի սահմաններից դուրս տեղաշարժվելու թույլտվություն ունեցող դատապարտյալների նկատմամբ: </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 xml:space="preserve">Առաջնային գնահատման գործիք կարող է չկիրառվել նաև քրեակատարողական հիմնարկից որոշակի ժամանակահատվածով բացակայելուց հետո վերադարձած (դատավարական, քննչական գործողություններ, Արդարադատության նախարարության  «Դատապարտյալների հիվանդանոց» քրեակատարողական հիմնարկ, </w:t>
      </w:r>
      <w:r>
        <w:rPr>
          <w:rFonts w:ascii="GHEA Grapalat" w:hAnsi="GHEA Grapalat"/>
          <w:noProof/>
          <w:color w:val="000000"/>
          <w:sz w:val="24"/>
          <w:szCs w:val="24"/>
          <w:shd w:val="clear" w:color="auto" w:fill="FFFFFF"/>
          <w:lang w:val="en-US"/>
        </w:rPr>
        <w:t>առողջապահական մարմինների բուժական հիմնարկ</w:t>
      </w:r>
      <w:r>
        <w:rPr>
          <w:rFonts w:ascii="GHEA Grapalat" w:hAnsi="GHEA Grapalat"/>
          <w:noProof/>
          <w:sz w:val="24"/>
          <w:szCs w:val="24"/>
          <w:lang w:val="en-US"/>
        </w:rPr>
        <w:t xml:space="preserve">, կարճատև կամ երկարատև մեկնում, քրեակատարողական հիմնարկի սահմաններից դուրս տեսակցություն և այլն) Ազատությունից զրկված  անձի նկատմամբ, այն դեպքում, </w:t>
      </w:r>
      <w:r>
        <w:rPr>
          <w:rFonts w:ascii="GHEA Grapalat" w:hAnsi="GHEA Grapalat"/>
          <w:noProof/>
          <w:sz w:val="24"/>
          <w:szCs w:val="24"/>
          <w:lang w:val="en-US"/>
        </w:rPr>
        <w:lastRenderedPageBreak/>
        <w:t>երբ քրեակատարողական հիմնարկ մուտք գործելու ընթացքում պատասխանատու հերթապահը (անհնարինության դեպքում՝ իր կողմից նշանակված անձը) Ազատությունից զրկված անձից տեղեկանում և հավաստիանում է, որ քրեակատարողական հիմնարկից բացակայելու ընթացքում որևէ նշանակալի իրադարձություն տեղի չի ունեցել վերջինիս հետ:  Պատասխանատու հերթապահն Առաջնային գնահատման գործիքի կիրառման անհրաժեշտության բացակայության վերաբերյալ հիմնավորված զեկուցագիր է ներկայացնում քրեակատարողական հիմնարկի պետին:</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Քրեակատարողական հիմնարկ մուտք գործելու պահին Ազատությունից զրկված անձը չի ենթարկվում ինքնասպանության և ինքնավնասման ռիսկի գնահատման, եթե նրա անձնական գործում առկա է ինքնասպանության և ինքնավնասման ռիսկի կառավարման դեռևս գործող պլան:</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 xml:space="preserve">Եթե Ազատությունից զրկված անձը հրաժարվում է առաջնային գնահատումից, ապա պատասխանատու հերթապահը (անհնարինության դեպքում՝ իր կողմից նշանակված անձը) 24 ժամվա ընթացքում կրկին առաջարկում է մասնակցել ինքնասպանության և ինքնավնասման ռիսկի գնահատմանը: </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 xml:space="preserve">Եթե  Ազատությունից զրկված անձը հրաժարվում է Առաջնային գնահատումից կամ խիստ օբյեկտիվ գործոններով պայմանավորած (հոգեակտիվ նյութերի, թմրանյութերի, ալկոհոլի ազդեցության տակ գտնվելու, զրկանքի համախտանիշ ունենալու, հոգեկան առողջության կամ նրա մոտ ախտորոշված օդակաթիլային եղանակով փոխանցվող վարակիչ հիվանդությունների հետևանքով բուժման նպատակով մեկուսացման պատճառով) նրա հետ հնարավոր չէ իրականացնել Առաջնային գնահատում, ապա կարևորելով Ազատությունից զրկված անձի կյանքի, առողջության և անվտանգության պաշտպանությունը` նրա վերաբերյալ ևս պատասխանատու հերթապահը բացում է ինքնասպանության և ինքնավնասման ռիսկի կառավարման պլան և Առաջնային գնահատման գործիքի կիրառման անհնարինության մասին համապատասխան արձանագրության հետ մեկտեղ զեկուցագրով ներկայացնում է քրեակատարողական հիմնարկի պետին: </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lastRenderedPageBreak/>
        <w:t>Ելնելով Առաջնային գնահատման արդյունքներից՝</w:t>
      </w:r>
      <w:r>
        <w:rPr>
          <w:rFonts w:ascii="GHEA Grapalat" w:hAnsi="GHEA Grapalat"/>
          <w:color w:val="000000"/>
          <w:sz w:val="18"/>
          <w:szCs w:val="18"/>
          <w:shd w:val="clear" w:color="auto" w:fill="FFFFFF"/>
          <w:lang w:val="en-US"/>
        </w:rPr>
        <w:t xml:space="preserve"> </w:t>
      </w:r>
      <w:r>
        <w:rPr>
          <w:rFonts w:ascii="GHEA Grapalat" w:hAnsi="GHEA Grapalat"/>
          <w:color w:val="000000"/>
          <w:sz w:val="24"/>
          <w:szCs w:val="24"/>
          <w:shd w:val="clear" w:color="auto" w:fill="FFFFFF"/>
        </w:rPr>
        <w:t>պատասխանատու</w:t>
      </w:r>
      <w:r>
        <w:rPr>
          <w:rFonts w:ascii="GHEA Grapalat" w:hAnsi="GHEA Grapalat"/>
          <w:color w:val="000000"/>
          <w:sz w:val="24"/>
          <w:szCs w:val="24"/>
          <w:shd w:val="clear" w:color="auto" w:fill="FFFFFF"/>
          <w:lang w:val="en-US"/>
        </w:rPr>
        <w:t xml:space="preserve"> </w:t>
      </w:r>
      <w:r>
        <w:rPr>
          <w:rFonts w:ascii="GHEA Grapalat" w:hAnsi="GHEA Grapalat"/>
          <w:color w:val="000000"/>
          <w:sz w:val="24"/>
          <w:szCs w:val="24"/>
          <w:shd w:val="clear" w:color="auto" w:fill="FFFFFF"/>
        </w:rPr>
        <w:t>հերթապահ</w:t>
      </w:r>
      <w:r>
        <w:rPr>
          <w:rFonts w:ascii="GHEA Grapalat" w:hAnsi="GHEA Grapalat"/>
          <w:color w:val="000000"/>
          <w:sz w:val="24"/>
          <w:szCs w:val="24"/>
          <w:shd w:val="clear" w:color="auto" w:fill="FFFFFF"/>
          <w:lang w:val="en-US"/>
        </w:rPr>
        <w:t xml:space="preserve">ը </w:t>
      </w:r>
      <w:r>
        <w:rPr>
          <w:rFonts w:ascii="GHEA Grapalat" w:hAnsi="GHEA Grapalat"/>
          <w:noProof/>
          <w:sz w:val="24"/>
          <w:szCs w:val="24"/>
          <w:lang w:val="en-US"/>
        </w:rPr>
        <w:t>եզրակացություն է տալիս ինքնասպանության և ինքնավնասման ռիսկի մակարդակի մասին՝  ցածր, միջին, բարձր, չափազանց բարձր:</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Եթե Առաջնային գնահատման  գործիքի կիրառման արդյունքում անձի մոտ ինքնասպանության և ինքնավնասման ռիսկի մակարդակը գնահատվում է ցածր, ապա պատասխանատու հերթապահը զեկուցագիր է ներկայացնում քրեակատարողական հիմնարկի պետին՝ հայտնելով ինքնասպանության և ինքնավնասման ռիսկի խորքային գնահատման գործիքի (այսուհետ՝ Խորքային գնահատում) կիրառման անհրաժեշտության բացակայության մասին: Պատասխանատու հերթապահը  Առաջնային գնահատման գործիքի լրացված ձևաթուղթը կցում է Ազատությունից զրկված անձի անձնական գործին և Առաջնային գնահատման արդյունքների մասին տեղեկացնում է քրեակատարողական հիմնարկի հոգեբանին (նրա բացակայության դեպքում՝ սոցիալական աշխատողին):</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 xml:space="preserve">Եթե Առաջնային գնահատման  գործիքի կիրառման արդյունքում անձի մոտ ինքնասպանության և ինքնավնասման ռիսկի մակարդակը գնահատվում է  միջին, բարձր կամ չափազանց բարձր, ապա պատասխանատու հերթապահը բացում է ինքնասպանության և ինքնավնասման ռիսկի կառավարման պլան և զեկուցագրին կից ներկայացնում է քրեակատարողական հիմնարկի պետին՝ հայտնելով Խորքային գնահատման գործիքի կիրառման անհրաժեշտության մասին:  Ազատությունից զրկված անձի հետ 48 ժամվա ընթացքում հոգեբանի (նրա բացակայության դեպքում՝ սոցիալական աշխատողի) կողմից իրականացվում է Խորքային գնահատում: </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color w:val="000000"/>
          <w:sz w:val="24"/>
          <w:szCs w:val="24"/>
          <w:shd w:val="clear" w:color="auto" w:fill="FFFFFF"/>
          <w:lang w:val="en-US"/>
        </w:rPr>
        <w:t>Ինքնասպանության և ինքնավնասման միջին, բարձր կամ չափազանց բարձր ռիսկ բացահայտելու դեպքում</w:t>
      </w:r>
      <w:r>
        <w:rPr>
          <w:rFonts w:ascii="GHEA Grapalat" w:hAnsi="GHEA Grapalat"/>
          <w:noProof/>
          <w:sz w:val="24"/>
          <w:szCs w:val="24"/>
          <w:lang w:val="en-US"/>
        </w:rPr>
        <w:t xml:space="preserve"> Ազատությունից զրկված անձանց</w:t>
      </w:r>
      <w:r>
        <w:rPr>
          <w:rFonts w:ascii="GHEA Grapalat" w:hAnsi="GHEA Grapalat"/>
          <w:noProof/>
          <w:color w:val="000000"/>
          <w:sz w:val="24"/>
          <w:szCs w:val="24"/>
          <w:shd w:val="clear" w:color="auto" w:fill="FFFFFF"/>
          <w:lang w:val="en-US"/>
        </w:rPr>
        <w:t xml:space="preserve">՝ քրեակատարողական հիմնարկի պետի պատճառաբանված որոշմամբ կարող է արգելվել իր մոտ ունենալ այնպիսի իրեր և առարկաներ, որոնք արգելված չեն քրեակատարողական հիմնարկում, սակայն որոնցով անձը կարող է կատարել ինքնասպանություն և ինքնավնասում: Լրացուցիչ արգելված իրերի և առարկաների </w:t>
      </w:r>
      <w:r>
        <w:rPr>
          <w:rFonts w:ascii="GHEA Grapalat" w:hAnsi="GHEA Grapalat"/>
          <w:noProof/>
          <w:color w:val="000000"/>
          <w:sz w:val="24"/>
          <w:szCs w:val="24"/>
          <w:shd w:val="clear" w:color="auto" w:fill="FFFFFF"/>
          <w:lang w:val="en-US"/>
        </w:rPr>
        <w:lastRenderedPageBreak/>
        <w:t>ցանկը կցվում է</w:t>
      </w:r>
      <w:r>
        <w:rPr>
          <w:rFonts w:ascii="GHEA Grapalat" w:hAnsi="GHEA Grapalat"/>
          <w:noProof/>
          <w:sz w:val="24"/>
          <w:szCs w:val="24"/>
          <w:lang w:val="en-US"/>
        </w:rPr>
        <w:t xml:space="preserve"> Ազատությունից զրկված անձի</w:t>
      </w:r>
      <w:r>
        <w:rPr>
          <w:rFonts w:ascii="GHEA Grapalat" w:hAnsi="GHEA Grapalat"/>
          <w:noProof/>
          <w:color w:val="000000"/>
          <w:sz w:val="24"/>
          <w:szCs w:val="24"/>
          <w:shd w:val="clear" w:color="auto" w:fill="FFFFFF"/>
          <w:lang w:val="en-US"/>
        </w:rPr>
        <w:t xml:space="preserve"> անձնական գործին, իսկ պատճենը՝ ռիսկի կառավարման պլանին:</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Պատասխանատու հերթապահը  վերոնշյալ գործողությունները կատարելուց բացի, ձեռնարկում է բոլոր անհրաժեշտ կանխարգելիչ միջոցները՝ Ազատությունից զրկված անձի անվտանգությունն երաշխավորելու ուղղությամբ:</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Առաջնային գնահատման գործիքը մինչև ինքնասպանության և ինքնավնասման ռիսկի կառավարման պլանի փակվելը պահվում է հերթապահ խմբի աշխատասենյակում՝ առանձնացված թղթապանակում:</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Խորքային գնահատում իրականացվում է նաև այն դեպքում, երբ առկա է Ազատությունից զրկված անձի վարքագծի վերաբերյալ անհանգստություն կամ նրա կյանքում տեղի է ունեցել որևէ նշանակալի իրադարձություն կամ նա կատարել է ինքնավնասում, ինքնասպանության փորձ կամ նրա մոտ քրեակատարողական հիմնարկի աշխատակցի կողմից նկատվել է ինքնասպանության կամ ինքնավնասման հակում: Նշված դեպքերում կատարվում են անհրաժեշտ գործողություններ՝ համաձայն սահմանված ընթացակարգի:</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Անկախ խորքային գնահատման արդյունքից խորքային գնահատման գործիքի լրացված պատճենը տրամադրվում է Հայաստանի Հանրապետության առողջապահության նախարարության «Քրեակատարողական բժշկության կենտրոն» ՊՈԱԿ-ի համապատասխան ստորաբաժանմանը՝ հոգեբույժին տրամադրելու նպատակով։</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Խորքային գնահատման գործիքը, մինչ ինքնասպանության և ինքնավնասման ռիսկի կառավարման պլանի փակելը, պահվում է քրեակատարողական հիմնարկի սոցիալական, հոգեբանական և իրավական աշխատանքների բաժնում և հանդիսանում է ազատությունից զրկված անձի անձնական գործի մաս: Ազատությունից զրկված անձին այլ քրեակատարողական հիմնարկ տեղափոխելիս խորքային գնահատման գործիքը կցվում է նրա անձնական գործին:</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lastRenderedPageBreak/>
        <w:t>Ինքնասպանության և ինքնավնասման միջին, բարձր կամ չափազանց բարձր ռիսկի մակարդակ բացահայտվելու դեպքում քրեակատարողական հիմնարկի պետի հանձնարարությամբ ձևավորվում է բազմամասնագիտական խումբ, որի կազմում ընդգրկվում են  անվտանգության ապահովման, սոցիալական, հոգեբանական և իրավական աշխատանքների, օպերատիվ բաժինների, ինչպես նաև «Քրեակատարողական բժշկության կենտրոն» ՊՈԱԿ-ի համապատասխան ստորաբաժանման աշխատակիցներ (անհրաժեշտության դեպքում կարող են ներգրավվել նաև այլ բաժինների աշխատակիցներ): Բազմամասնագիտական խմբի կազմում ընդգրկված անդամների ցանկը հաստատվում է խմբի առաջին հանդիպման ընթացքում՝ համապատասխան արձանագրությամբ, որը կցվում է ազատությունից զրկված անձի վերաբերյալ բացված ռիսկի կառավարման պլանին:</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 xml:space="preserve">Խորքային գնահատումից հետո ոչ ուշ, քան 48 ժամվա ընթացքում կազմակերպվում է բազմամասնագիտական խմբի քննարկում, որի ընթացքում ինքնասպանության և ինքնավնասման ռիսկի կառավարման պլանում ամրագրվում են անհրաժեշտ գործողություններ: </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 xml:space="preserve">Քրեակատարողական հիմնարկի պետը բազմամասնագիտական խմբի կազմում բժիշկ-մասնագետ (հատկապես հոգեբույժ) ընդգրկելու նպատակով դիմում է Առողջապահության նախարարության «Քրեակատարողական բժշկության կենտրոն» ՊՈԱԿ-ի համապատասխան ստորաբաժանմանը: </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 xml:space="preserve">Բազմամասնագիտական խմբի հանդիպումների հաճախականությունը որոշվում է ըստ Ազատությունից զրկված տվյալ անձի մոտ առկա ինքնասպանության և ինքնավնասման ռիսկի մակարդակի և դրա կառավարման անհրաժեշտության, սակայն ոչ ուշ, քան ամիսը մեկ անգամ։ </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 xml:space="preserve">Բազմամասնագիտական խումբն  առնվազն ամիսը մեկ անգամ քննարկում է ինքնասպանության և ինքնավնասման ռիսկի խմբում գտնվող Ազատությունից զրկված անձանց հետ աշխատանքները, ձեռնարկված միջոցառումերի արդյունավետությունը, ներկա վիճակը, ինչպես նաև ինքնասպանության և ինքնավնասման ռիսկի զգալի նվազման դեպքում կառավարման պլանը փակելու </w:t>
      </w:r>
      <w:r>
        <w:rPr>
          <w:rFonts w:ascii="GHEA Grapalat" w:hAnsi="GHEA Grapalat"/>
          <w:noProof/>
          <w:sz w:val="24"/>
          <w:szCs w:val="24"/>
          <w:lang w:val="en-US"/>
        </w:rPr>
        <w:lastRenderedPageBreak/>
        <w:t>նպատակահարմարությունը: Ամսական հաշվարկը սկսվում է ազատությունից զրկված անձի մոտ ինքնասպանության և ինքնավնասման ռիսկի տվյալ մակարդակը գնահատելու պահից:</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Բազմամասնագիտական խմբի հանդիպումները կազմակերպում է տվյալ օրվա պատասխանատու հերթապահը:  Անհրաժեշտության դեպքում յուրաքանչյուր անդամ կարող է նախաձեռնել բազմամասնագիտական խմբի հանդիպումներ:</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 xml:space="preserve">Ինքնասպանության և ինքնավնասման ռիսկի կառավարման պլանը պահվում է հերթապահ խմբի աշխատասենյակում: </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Առաջնային գնահատման հիման վրա կազմված  ինքնասպանության և ինքնավնասման ռիսկի կառավարման պլանը կարող է լրամշակվել խորքային գնահատումից կամ բազմամասնագիտական խմբի քննարկումից հետո:</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Բազմամասնագիտական խմբի յուրաքանչյուր անդամի կարծիքը կամ պլանավորվող միջոցառումները արձանագրվում են Բազմամասնագիտական խմբի հանդիպման արդյունքների արձանագրման  ձևաթղթում:</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Կատարված աշխատանքների արդյունքում Ազատությունից զրկված անձի մոտ ինքնասպանության և ինքնավնասման ռիսկի նվազման դեպքում բազմամասնագիտական խմբի առաջարկությունների և կարծիքների հիման վրա ինքնասպանության և ինքնավնասման ռիսկի կառավարման պլանը փակվում է, եթե բազմամասնագիտական խմբի  բոլոր անդամների կողմից առկա են գրառումներ անհրաժեշտ աշխատանքների բացակայության մասին: Պատասխանատու հերթապահը քրեակատարողական հիմնարկի պետին զեկուցում է ինքնասպանության և ինքնավնասման ռիսկի կառավարման պլանը փակելու մասին: Ինքնասպանության և ինքնավնասման ռիսկի կառավարման պլանը կցվում է անձնական գործին:</w:t>
      </w:r>
    </w:p>
    <w:p w:rsidR="004F2781" w:rsidRDefault="004F2781" w:rsidP="004F2781">
      <w:pPr>
        <w:pStyle w:val="ListParagraph"/>
        <w:numPr>
          <w:ilvl w:val="3"/>
          <w:numId w:val="1"/>
        </w:numPr>
        <w:spacing w:line="360" w:lineRule="auto"/>
        <w:ind w:left="0" w:firstLine="567"/>
        <w:rPr>
          <w:rFonts w:ascii="GHEA Grapalat" w:hAnsi="GHEA Grapalat"/>
          <w:noProof/>
          <w:sz w:val="24"/>
          <w:szCs w:val="24"/>
          <w:lang w:val="en-US"/>
        </w:rPr>
      </w:pPr>
      <w:r>
        <w:rPr>
          <w:rFonts w:ascii="GHEA Grapalat" w:hAnsi="GHEA Grapalat"/>
          <w:noProof/>
          <w:sz w:val="24"/>
          <w:szCs w:val="24"/>
          <w:lang w:val="en-US"/>
        </w:rPr>
        <w:t xml:space="preserve">Պատասխանատու հերթապահը  ինքնասպանության և ինքնավնասման ռիսկի կառավարման պլանը փակվելու որոշման մասին աշխատանքային կարգով տեղեկացնում է բոլոր համապատասխան ստորաբաժանումներին: </w:t>
      </w:r>
    </w:p>
    <w:p w:rsidR="004F2781" w:rsidRDefault="004F2781" w:rsidP="004F2781">
      <w:pPr>
        <w:pStyle w:val="ListParagraph"/>
        <w:numPr>
          <w:ilvl w:val="3"/>
          <w:numId w:val="1"/>
        </w:numPr>
        <w:spacing w:line="360" w:lineRule="auto"/>
        <w:ind w:left="0" w:firstLine="567"/>
        <w:rPr>
          <w:noProof/>
          <w:lang w:val="en-US"/>
        </w:rPr>
      </w:pPr>
      <w:r>
        <w:rPr>
          <w:rFonts w:ascii="GHEA Grapalat" w:hAnsi="GHEA Grapalat"/>
          <w:noProof/>
          <w:sz w:val="24"/>
          <w:szCs w:val="24"/>
          <w:lang w:val="en-US"/>
        </w:rPr>
        <w:t xml:space="preserve">Եթե Ազատությունից զրկված  անձի վերաբերյալ առկա է ինքնասպանության և ինքնավնասման ռիսկի կառավարման դեռևս գործող պլան, </w:t>
      </w:r>
      <w:r>
        <w:rPr>
          <w:rFonts w:ascii="GHEA Grapalat" w:hAnsi="GHEA Grapalat"/>
          <w:noProof/>
          <w:sz w:val="24"/>
          <w:szCs w:val="24"/>
          <w:lang w:val="en-US"/>
        </w:rPr>
        <w:lastRenderedPageBreak/>
        <w:t>ապա այլ քրեակատարողական հիմնարկ տեղափոխվելու դեպքում ընդունող քրեակատարողական հիմնարկը կարող է շարունակել առկա կառավարման պլանով նախատեսված գործողությունները:</w:t>
      </w:r>
    </w:p>
    <w:p w:rsidR="003E3218" w:rsidRPr="004F2781" w:rsidRDefault="003E3218">
      <w:pPr>
        <w:rPr>
          <w:lang w:val="en-US"/>
        </w:rPr>
      </w:pPr>
    </w:p>
    <w:sectPr w:rsidR="003E3218" w:rsidRPr="004F2781" w:rsidSect="003E3218">
      <w:pgSz w:w="12240" w:h="15840"/>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40527B"/>
    <w:multiLevelType w:val="hybridMultilevel"/>
    <w:tmpl w:val="0A62C82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D158BEE2">
      <w:start w:val="1"/>
      <w:numFmt w:val="decimal"/>
      <w:lvlText w:val="%4."/>
      <w:lvlJc w:val="left"/>
      <w:pPr>
        <w:ind w:left="900" w:hanging="360"/>
      </w:pPr>
      <w:rPr>
        <w:rFonts w:ascii="GHEA Grapalat" w:hAnsi="GHEA Grapalat" w:hint="default"/>
        <w:sz w:val="24"/>
        <w:szCs w:val="24"/>
      </w:r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F2781"/>
    <w:rsid w:val="003E3218"/>
    <w:rsid w:val="004F27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781"/>
    <w:rPr>
      <w:rFonts w:ascii="Calibri" w:eastAsia="Calibri" w:hAnsi="Calibri" w:cs="Times New Roman"/>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Akapit z listą BS Char,List Paragraph 1 Char,List_Paragraph Char,Multilevel para_II Char,Абзац Char,List Paragraph (numbered (a)) Char,OBC Bullet Char,List Paragraph11 Char,Normal numbered Char,Paragraphe de liste PBLH Char,3 Char"/>
    <w:link w:val="ListParagraph"/>
    <w:qFormat/>
    <w:locked/>
    <w:rsid w:val="004F2781"/>
    <w:rPr>
      <w:rFonts w:ascii="Calibri" w:eastAsia="Calibri" w:hAnsi="Calibri" w:cs="Times New Roman"/>
      <w:kern w:val="2"/>
      <w:lang w:val="ru-RU"/>
    </w:rPr>
  </w:style>
  <w:style w:type="paragraph" w:styleId="ListParagraph">
    <w:name w:val="List Paragraph"/>
    <w:aliases w:val="Akapit z listą BS,List Paragraph 1,List_Paragraph,Multilevel para_II,Абзац,List Paragraph (numbered (a)),OBC Bullet,List Paragraph11,Normal numbered,Paragraphe de liste PBLH,Bullets,List Paragraph1,References,List Paragraph nowy,Liste 1,3"/>
    <w:basedOn w:val="Normal"/>
    <w:link w:val="ListParagraphChar"/>
    <w:qFormat/>
    <w:rsid w:val="004F2781"/>
    <w:pPr>
      <w:spacing w:after="0"/>
      <w:ind w:left="720"/>
      <w:contextualSpacing/>
      <w:jc w:val="both"/>
    </w:pPr>
    <w:rPr>
      <w:kern w:val="2"/>
    </w:rPr>
  </w:style>
</w:styles>
</file>

<file path=word/webSettings.xml><?xml version="1.0" encoding="utf-8"?>
<w:webSettings xmlns:r="http://schemas.openxmlformats.org/officeDocument/2006/relationships" xmlns:w="http://schemas.openxmlformats.org/wordprocessingml/2006/main">
  <w:divs>
    <w:div w:id="31931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1452</Words>
  <Characters>8279</Characters>
  <Application>Microsoft Office Word</Application>
  <DocSecurity>0</DocSecurity>
  <Lines>68</Lines>
  <Paragraphs>19</Paragraphs>
  <ScaleCrop>false</ScaleCrop>
  <Company/>
  <LinksUpToDate>false</LinksUpToDate>
  <CharactersWithSpaces>9712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L-Avetisyan</dc:creator>
  <cp:keywords/>
  <dc:description/>
  <cp:lastModifiedBy>L-Avetisyan</cp:lastModifiedBy>
  <cp:revision>2</cp:revision>
  <dcterms:created xsi:type="dcterms:W3CDTF">2023-10-25T07:23:00Z</dcterms:created>
  <dcterms:modified xsi:type="dcterms:W3CDTF">2023-10-25T07:25:00Z</dcterms:modified>
</cp:coreProperties>
</file>