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1D7C8" w14:textId="72D7EEF1" w:rsidR="004B2CC0" w:rsidRDefault="004B2CC0" w:rsidP="008458BB">
      <w:pPr>
        <w:spacing w:after="0"/>
        <w:ind w:left="11199"/>
        <w:jc w:val="center"/>
        <w:rPr>
          <w:rFonts w:ascii="GHEA Grapalat" w:hAnsi="GHEA Grapalat"/>
          <w:sz w:val="20"/>
          <w:szCs w:val="20"/>
          <w:lang w:val="hy-AM"/>
        </w:rPr>
      </w:pPr>
      <w:r w:rsidRPr="004B2CC0">
        <w:rPr>
          <w:rFonts w:ascii="GHEA Grapalat" w:hAnsi="GHEA Grapalat"/>
          <w:sz w:val="20"/>
          <w:szCs w:val="20"/>
          <w:lang w:val="hy-AM"/>
        </w:rPr>
        <w:t>Հավելված</w:t>
      </w:r>
    </w:p>
    <w:p w14:paraId="73742EEE" w14:textId="11E9FFC6" w:rsidR="004B2CC0" w:rsidRDefault="004B2CC0" w:rsidP="00F01D06">
      <w:pPr>
        <w:spacing w:after="0"/>
        <w:ind w:left="11199"/>
        <w:jc w:val="right"/>
        <w:rPr>
          <w:rFonts w:ascii="GHEA Grapalat" w:hAnsi="GHEA Grapalat"/>
          <w:sz w:val="20"/>
          <w:szCs w:val="20"/>
          <w:lang w:val="hy-AM"/>
        </w:rPr>
      </w:pPr>
      <w:r>
        <w:rPr>
          <w:rFonts w:ascii="GHEA Grapalat" w:hAnsi="GHEA Grapalat"/>
          <w:sz w:val="20"/>
          <w:szCs w:val="20"/>
          <w:lang w:val="hy-AM"/>
        </w:rPr>
        <w:t>Արդարադատության նախարարի</w:t>
      </w:r>
    </w:p>
    <w:p w14:paraId="60F67BD9" w14:textId="6E45798E" w:rsidR="004B2CC0" w:rsidRPr="004B2CC0" w:rsidRDefault="004B2CC0" w:rsidP="00F01D06">
      <w:pPr>
        <w:spacing w:after="720"/>
        <w:jc w:val="right"/>
        <w:rPr>
          <w:rFonts w:ascii="GHEA Grapalat" w:hAnsi="GHEA Grapalat"/>
          <w:sz w:val="20"/>
          <w:szCs w:val="20"/>
          <w:lang w:val="hy-AM"/>
        </w:rPr>
      </w:pPr>
      <w:bookmarkStart w:id="0" w:name="_GoBack"/>
      <w:bookmarkEnd w:id="0"/>
      <w:r>
        <w:rPr>
          <w:rFonts w:ascii="GHEA Grapalat" w:hAnsi="GHEA Grapalat"/>
          <w:sz w:val="20"/>
          <w:szCs w:val="20"/>
          <w:lang w:val="hy-AM"/>
        </w:rPr>
        <w:t xml:space="preserve">2026 թվականի </w:t>
      </w:r>
      <w:r w:rsidR="001A4A88">
        <w:rPr>
          <w:rFonts w:ascii="GHEA Grapalat" w:hAnsi="GHEA Grapalat"/>
          <w:sz w:val="20"/>
          <w:szCs w:val="20"/>
          <w:lang w:val="hy-AM"/>
        </w:rPr>
        <w:t>ապրիլի</w:t>
      </w:r>
      <w:r w:rsidR="00F01D06" w:rsidRPr="00F01D06">
        <w:rPr>
          <w:rFonts w:ascii="GHEA Grapalat" w:hAnsi="GHEA Grapalat"/>
          <w:sz w:val="20"/>
          <w:szCs w:val="20"/>
          <w:lang w:val="hy-AM"/>
        </w:rPr>
        <w:t xml:space="preserve"> 8-</w:t>
      </w:r>
      <w:r w:rsidR="00F01D06">
        <w:rPr>
          <w:rFonts w:ascii="GHEA Grapalat" w:hAnsi="GHEA Grapalat"/>
          <w:sz w:val="20"/>
          <w:szCs w:val="20"/>
          <w:lang w:val="hy-AM"/>
        </w:rPr>
        <w:t xml:space="preserve">ի </w:t>
      </w:r>
      <w:r w:rsidR="00F01D06" w:rsidRPr="00F01D06">
        <w:rPr>
          <w:rFonts w:ascii="GHEA Grapalat" w:hAnsi="GHEA Grapalat"/>
          <w:sz w:val="20"/>
          <w:szCs w:val="20"/>
          <w:lang w:val="hy-AM"/>
        </w:rPr>
        <w:t>N</w:t>
      </w:r>
      <w:r w:rsidR="00F01D06">
        <w:rPr>
          <w:rFonts w:ascii="GHEA Grapalat" w:hAnsi="GHEA Grapalat"/>
          <w:sz w:val="20"/>
          <w:szCs w:val="20"/>
          <w:lang w:val="hy-AM"/>
        </w:rPr>
        <w:t xml:space="preserve"> 168</w:t>
      </w:r>
      <w:r>
        <w:rPr>
          <w:rFonts w:ascii="GHEA Grapalat" w:hAnsi="GHEA Grapalat"/>
          <w:sz w:val="20"/>
          <w:szCs w:val="20"/>
          <w:lang w:val="hy-AM"/>
        </w:rPr>
        <w:t>-Լ հրամանի</w:t>
      </w:r>
    </w:p>
    <w:p w14:paraId="020CD3B7" w14:textId="6C285E93" w:rsidR="00F96F62" w:rsidRDefault="005A30CE" w:rsidP="005A30CE">
      <w:pPr>
        <w:ind w:left="-567"/>
        <w:jc w:val="center"/>
        <w:rPr>
          <w:rFonts w:ascii="GHEA Grapalat" w:hAnsi="GHEA Grapalat"/>
          <w:b/>
          <w:bCs/>
          <w:sz w:val="24"/>
          <w:szCs w:val="24"/>
          <w:lang w:val="hy-AM"/>
        </w:rPr>
      </w:pPr>
      <w:r w:rsidRPr="005A30CE">
        <w:rPr>
          <w:rFonts w:ascii="GHEA Grapalat" w:hAnsi="GHEA Grapalat"/>
          <w:b/>
          <w:bCs/>
          <w:sz w:val="24"/>
          <w:szCs w:val="24"/>
          <w:lang w:val="hy-AM"/>
        </w:rPr>
        <w:t xml:space="preserve">ՀԱՅԱՍՏԱՆԻ </w:t>
      </w:r>
      <w:r w:rsidR="00B26A10">
        <w:rPr>
          <w:rFonts w:ascii="GHEA Grapalat" w:hAnsi="GHEA Grapalat"/>
          <w:b/>
          <w:bCs/>
          <w:sz w:val="24"/>
          <w:szCs w:val="24"/>
          <w:lang w:val="hy-AM"/>
        </w:rPr>
        <w:t>ՀԱՆՐԱՊԵՏՈՒԹՅՈՒ</w:t>
      </w:r>
      <w:r w:rsidRPr="005A30CE">
        <w:rPr>
          <w:rFonts w:ascii="GHEA Grapalat" w:hAnsi="GHEA Grapalat"/>
          <w:b/>
          <w:bCs/>
          <w:sz w:val="24"/>
          <w:szCs w:val="24"/>
          <w:lang w:val="hy-AM"/>
        </w:rPr>
        <w:t>Ն</w:t>
      </w:r>
      <w:r w:rsidR="00B26A10">
        <w:rPr>
          <w:rFonts w:ascii="GHEA Grapalat" w:hAnsi="GHEA Grapalat"/>
          <w:b/>
          <w:bCs/>
          <w:sz w:val="24"/>
          <w:szCs w:val="24"/>
          <w:lang w:val="hy-AM"/>
        </w:rPr>
        <w:t>-</w:t>
      </w:r>
      <w:r w:rsidRPr="005A30CE">
        <w:rPr>
          <w:rFonts w:ascii="GHEA Grapalat" w:hAnsi="GHEA Grapalat"/>
          <w:b/>
          <w:bCs/>
          <w:sz w:val="24"/>
          <w:szCs w:val="24"/>
          <w:lang w:val="hy-AM"/>
        </w:rPr>
        <w:t xml:space="preserve">ԵՎՐՈՊԱԿԱՆ </w:t>
      </w:r>
      <w:r w:rsidR="00B26A10">
        <w:rPr>
          <w:rFonts w:ascii="GHEA Grapalat" w:hAnsi="GHEA Grapalat"/>
          <w:b/>
          <w:bCs/>
          <w:sz w:val="24"/>
          <w:szCs w:val="24"/>
          <w:lang w:val="hy-AM"/>
        </w:rPr>
        <w:t>ՄԻՈՒԹՅՈՒ</w:t>
      </w:r>
      <w:r w:rsidRPr="005A30CE">
        <w:rPr>
          <w:rFonts w:ascii="GHEA Grapalat" w:hAnsi="GHEA Grapalat"/>
          <w:b/>
          <w:bCs/>
          <w:sz w:val="24"/>
          <w:szCs w:val="24"/>
          <w:lang w:val="hy-AM"/>
        </w:rPr>
        <w:t xml:space="preserve">Ն ԳՈՐԾԸՆԿԵՐՈՒԹՅԱՆ ՌԱԶՄԱՎԱՐԱԿԱՆ ՕՐԱԿԱՐԳԻ՝ ԱՐԴԱՐԱԴԱՏՈՒԹՅԱՆ ՆԱԽԱՐԱՐՈՒԹՅԱՆ ԻՐԱՎԱՍՈՒԹՅԱՆՆ ԱՌՆՉՎՈՂ ԱՌԱՋՆԱՀԵՐԹՈՒԹՅՈՒՆՆԵՐԻ ԻՐԱԿԱՆԱՑՄԱՆ </w:t>
      </w:r>
      <w:r w:rsidR="00E02DCD">
        <w:rPr>
          <w:rFonts w:ascii="GHEA Grapalat" w:hAnsi="GHEA Grapalat"/>
          <w:b/>
          <w:bCs/>
          <w:sz w:val="24"/>
          <w:szCs w:val="24"/>
          <w:lang w:val="hy-AM"/>
        </w:rPr>
        <w:t>ԺԱՄԱ</w:t>
      </w:r>
      <w:r w:rsidRPr="005A30CE">
        <w:rPr>
          <w:rFonts w:ascii="GHEA Grapalat" w:hAnsi="GHEA Grapalat"/>
          <w:b/>
          <w:bCs/>
          <w:sz w:val="24"/>
          <w:szCs w:val="24"/>
          <w:lang w:val="hy-AM"/>
        </w:rPr>
        <w:t>ՆԱԿԱՑՈՒՅՑԸ</w:t>
      </w:r>
      <w:r>
        <w:rPr>
          <w:rFonts w:ascii="GHEA Grapalat" w:hAnsi="GHEA Grapalat"/>
          <w:b/>
          <w:bCs/>
          <w:sz w:val="24"/>
          <w:szCs w:val="24"/>
          <w:lang w:val="hy-AM"/>
        </w:rPr>
        <w:t xml:space="preserve"> </w:t>
      </w:r>
      <w:r w:rsidR="00907CDA">
        <w:rPr>
          <w:rFonts w:ascii="GHEA Grapalat" w:hAnsi="GHEA Grapalat"/>
          <w:b/>
          <w:bCs/>
          <w:sz w:val="24"/>
          <w:szCs w:val="24"/>
          <w:lang w:val="hy-AM"/>
        </w:rPr>
        <w:t>ԵՎ</w:t>
      </w:r>
      <w:r>
        <w:rPr>
          <w:rFonts w:ascii="GHEA Grapalat" w:hAnsi="GHEA Grapalat"/>
          <w:b/>
          <w:bCs/>
          <w:sz w:val="24"/>
          <w:szCs w:val="24"/>
          <w:lang w:val="hy-AM"/>
        </w:rPr>
        <w:t xml:space="preserve"> </w:t>
      </w:r>
      <w:r w:rsidRPr="005A30CE">
        <w:rPr>
          <w:rFonts w:ascii="GHEA Grapalat" w:hAnsi="GHEA Grapalat"/>
          <w:b/>
          <w:bCs/>
          <w:sz w:val="24"/>
          <w:szCs w:val="24"/>
          <w:lang w:val="hy-AM"/>
        </w:rPr>
        <w:t>ԻՐԱԿԱՆԱՑՄԱՆ ՀԱՄԱՐ ՊԱՏԱՍԽԱՆԱՏՈՒ</w:t>
      </w:r>
      <w:r w:rsidR="00E02DCD">
        <w:rPr>
          <w:rFonts w:ascii="GHEA Grapalat" w:hAnsi="GHEA Grapalat"/>
          <w:b/>
          <w:bCs/>
          <w:sz w:val="24"/>
          <w:szCs w:val="24"/>
          <w:lang w:val="hy-AM"/>
        </w:rPr>
        <w:t>ՆԵՐԸ</w:t>
      </w:r>
      <w:r w:rsidR="00E02DCD">
        <w:rPr>
          <w:rStyle w:val="FootnoteReference"/>
          <w:rFonts w:ascii="GHEA Grapalat" w:hAnsi="GHEA Grapalat"/>
          <w:b/>
          <w:bCs/>
          <w:sz w:val="24"/>
          <w:szCs w:val="24"/>
          <w:lang w:val="hy-AM"/>
        </w:rPr>
        <w:footnoteReference w:id="1"/>
      </w:r>
    </w:p>
    <w:tbl>
      <w:tblPr>
        <w:tblStyle w:val="TableGrid1"/>
        <w:tblW w:w="14560" w:type="dxa"/>
        <w:tblLook w:val="04A0" w:firstRow="1" w:lastRow="0" w:firstColumn="1" w:lastColumn="0" w:noHBand="0" w:noVBand="1"/>
      </w:tblPr>
      <w:tblGrid>
        <w:gridCol w:w="843"/>
        <w:gridCol w:w="7878"/>
        <w:gridCol w:w="2354"/>
        <w:gridCol w:w="3485"/>
      </w:tblGrid>
      <w:tr w:rsidR="007972EA" w:rsidRPr="007972EA" w14:paraId="62690D5E" w14:textId="77777777" w:rsidTr="00452D41">
        <w:tc>
          <w:tcPr>
            <w:tcW w:w="843" w:type="dxa"/>
            <w:shd w:val="clear" w:color="auto" w:fill="1F4E79" w:themeFill="accent1" w:themeFillShade="80"/>
          </w:tcPr>
          <w:p w14:paraId="3E715512" w14:textId="77777777" w:rsidR="007972EA" w:rsidRPr="007972EA" w:rsidRDefault="007972EA" w:rsidP="007972EA">
            <w:pPr>
              <w:contextualSpacing/>
              <w:rPr>
                <w:rFonts w:ascii="GHEA Grapalat" w:hAnsi="GHEA Grapalat"/>
                <w:b/>
                <w:bCs/>
                <w:sz w:val="24"/>
                <w:szCs w:val="24"/>
              </w:rPr>
            </w:pPr>
            <w:r w:rsidRPr="007972EA">
              <w:rPr>
                <w:rFonts w:ascii="GHEA Grapalat" w:hAnsi="GHEA Grapalat"/>
                <w:b/>
                <w:bCs/>
                <w:sz w:val="24"/>
                <w:szCs w:val="24"/>
              </w:rPr>
              <w:t>N</w:t>
            </w:r>
          </w:p>
        </w:tc>
        <w:tc>
          <w:tcPr>
            <w:tcW w:w="7878" w:type="dxa"/>
            <w:shd w:val="clear" w:color="auto" w:fill="1F4E79" w:themeFill="accent1" w:themeFillShade="80"/>
          </w:tcPr>
          <w:p w14:paraId="1CD96A02" w14:textId="77777777" w:rsidR="007972EA" w:rsidRPr="007972EA" w:rsidRDefault="007972EA" w:rsidP="007972EA">
            <w:pPr>
              <w:jc w:val="center"/>
              <w:rPr>
                <w:rFonts w:ascii="GHEA Grapalat" w:hAnsi="GHEA Grapalat"/>
                <w:b/>
                <w:bCs/>
                <w:sz w:val="24"/>
                <w:szCs w:val="24"/>
                <w:lang w:val="hy-AM"/>
              </w:rPr>
            </w:pPr>
            <w:r w:rsidRPr="007972EA">
              <w:rPr>
                <w:rFonts w:ascii="GHEA Grapalat" w:hAnsi="GHEA Grapalat"/>
                <w:b/>
                <w:bCs/>
                <w:sz w:val="24"/>
                <w:szCs w:val="24"/>
                <w:lang w:val="hy-AM"/>
              </w:rPr>
              <w:t>Գործողություն</w:t>
            </w:r>
          </w:p>
        </w:tc>
        <w:tc>
          <w:tcPr>
            <w:tcW w:w="2354" w:type="dxa"/>
            <w:shd w:val="clear" w:color="auto" w:fill="1F4E79" w:themeFill="accent1" w:themeFillShade="80"/>
            <w:vAlign w:val="center"/>
          </w:tcPr>
          <w:p w14:paraId="5BC499BA" w14:textId="77777777" w:rsidR="007972EA" w:rsidRPr="007972EA" w:rsidRDefault="007972EA" w:rsidP="007972EA">
            <w:pPr>
              <w:jc w:val="center"/>
              <w:rPr>
                <w:rFonts w:ascii="GHEA Grapalat" w:hAnsi="GHEA Grapalat"/>
                <w:b/>
                <w:bCs/>
                <w:sz w:val="24"/>
                <w:szCs w:val="24"/>
                <w:lang w:val="hy-AM"/>
              </w:rPr>
            </w:pPr>
            <w:r w:rsidRPr="007972EA">
              <w:rPr>
                <w:rFonts w:ascii="GHEA Grapalat" w:hAnsi="GHEA Grapalat"/>
                <w:b/>
                <w:bCs/>
                <w:sz w:val="24"/>
                <w:szCs w:val="24"/>
                <w:lang w:val="hy-AM"/>
              </w:rPr>
              <w:t>Ժամկետ</w:t>
            </w:r>
          </w:p>
        </w:tc>
        <w:tc>
          <w:tcPr>
            <w:tcW w:w="3485" w:type="dxa"/>
            <w:shd w:val="clear" w:color="auto" w:fill="1F4E79" w:themeFill="accent1" w:themeFillShade="80"/>
            <w:vAlign w:val="center"/>
          </w:tcPr>
          <w:p w14:paraId="204A6DF5" w14:textId="77777777" w:rsidR="007972EA" w:rsidRPr="007972EA" w:rsidRDefault="007972EA" w:rsidP="00452D41">
            <w:pPr>
              <w:jc w:val="center"/>
              <w:rPr>
                <w:rFonts w:ascii="GHEA Grapalat" w:hAnsi="GHEA Grapalat"/>
                <w:b/>
                <w:bCs/>
                <w:sz w:val="24"/>
                <w:szCs w:val="24"/>
                <w:lang w:val="hy-AM"/>
              </w:rPr>
            </w:pPr>
            <w:r w:rsidRPr="007972EA">
              <w:rPr>
                <w:rFonts w:ascii="GHEA Grapalat" w:hAnsi="GHEA Grapalat"/>
                <w:b/>
                <w:bCs/>
                <w:sz w:val="24"/>
                <w:szCs w:val="24"/>
                <w:lang w:val="hy-AM"/>
              </w:rPr>
              <w:t>Պատասխանատու ստորաբաժանում</w:t>
            </w:r>
          </w:p>
        </w:tc>
      </w:tr>
      <w:tr w:rsidR="007972EA" w:rsidRPr="007972EA" w14:paraId="7DEDB103" w14:textId="77777777" w:rsidTr="00452D41">
        <w:tc>
          <w:tcPr>
            <w:tcW w:w="14560" w:type="dxa"/>
            <w:gridSpan w:val="4"/>
            <w:shd w:val="clear" w:color="auto" w:fill="C45911" w:themeFill="accent2" w:themeFillShade="BF"/>
            <w:vAlign w:val="center"/>
          </w:tcPr>
          <w:p w14:paraId="7332C648" w14:textId="77777777" w:rsidR="007972EA" w:rsidRPr="007972EA" w:rsidRDefault="007972EA" w:rsidP="00452D41">
            <w:pPr>
              <w:jc w:val="center"/>
              <w:rPr>
                <w:rFonts w:ascii="GHEA Grapalat" w:hAnsi="GHEA Grapalat"/>
                <w:b/>
                <w:bCs/>
                <w:sz w:val="24"/>
                <w:szCs w:val="24"/>
                <w:lang w:val="hy-AM"/>
              </w:rPr>
            </w:pPr>
            <w:r w:rsidRPr="007972EA">
              <w:rPr>
                <w:rFonts w:ascii="GHEA Grapalat" w:hAnsi="GHEA Grapalat"/>
                <w:b/>
                <w:bCs/>
                <w:sz w:val="24"/>
                <w:szCs w:val="24"/>
                <w:lang w:val="hy-AM"/>
              </w:rPr>
              <w:t>2.1. Ժողովրդավարություն, մարդու իրավունքներ և արդյունավետ կառավարում</w:t>
            </w:r>
          </w:p>
        </w:tc>
      </w:tr>
      <w:tr w:rsidR="007972EA" w:rsidRPr="007972EA" w14:paraId="58488FC5" w14:textId="77777777" w:rsidTr="00452D41">
        <w:tc>
          <w:tcPr>
            <w:tcW w:w="14560" w:type="dxa"/>
            <w:gridSpan w:val="4"/>
            <w:shd w:val="clear" w:color="auto" w:fill="F4B083" w:themeFill="accent2" w:themeFillTint="99"/>
            <w:vAlign w:val="center"/>
          </w:tcPr>
          <w:p w14:paraId="22ACBFD8" w14:textId="77777777" w:rsidR="007972EA" w:rsidRPr="007972EA" w:rsidRDefault="007972EA" w:rsidP="00452D41">
            <w:pPr>
              <w:contextualSpacing/>
              <w:jc w:val="center"/>
              <w:rPr>
                <w:rFonts w:ascii="GHEA Grapalat" w:hAnsi="GHEA Grapalat"/>
                <w:i/>
                <w:iCs/>
                <w:sz w:val="24"/>
                <w:szCs w:val="24"/>
                <w:lang w:val="hy-AM"/>
              </w:rPr>
            </w:pPr>
            <w:r w:rsidRPr="007972EA">
              <w:rPr>
                <w:rFonts w:ascii="GHEA Grapalat" w:hAnsi="GHEA Grapalat"/>
                <w:i/>
                <w:iCs/>
                <w:sz w:val="24"/>
                <w:szCs w:val="24"/>
                <w:lang w:val="hy-AM"/>
              </w:rPr>
              <w:t>2.1.1. Ժողովրդավարություն</w:t>
            </w:r>
          </w:p>
        </w:tc>
      </w:tr>
      <w:tr w:rsidR="007972EA" w:rsidRPr="007972EA" w14:paraId="0322BCFF" w14:textId="77777777" w:rsidTr="00452D41">
        <w:trPr>
          <w:trHeight w:val="96"/>
        </w:trPr>
        <w:tc>
          <w:tcPr>
            <w:tcW w:w="14560" w:type="dxa"/>
            <w:gridSpan w:val="4"/>
            <w:vAlign w:val="center"/>
          </w:tcPr>
          <w:p w14:paraId="56151DBD" w14:textId="2E99B0B6" w:rsidR="007972EA" w:rsidRPr="007972EA" w:rsidRDefault="007972EA" w:rsidP="00452D41">
            <w:pPr>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7972EA" w14:paraId="252B1B96" w14:textId="77777777" w:rsidTr="00452D41">
        <w:trPr>
          <w:trHeight w:val="660"/>
        </w:trPr>
        <w:tc>
          <w:tcPr>
            <w:tcW w:w="843" w:type="dxa"/>
          </w:tcPr>
          <w:p w14:paraId="66B9343D"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6A15EB71"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ապահովել թափանցիկ, ներառական, ազատ և արդար ընտրություններ և գործել Եվրոպայի անվտանգության և համագործակցության կազմակերպության (ԵԱՀԿ)/Ժողովրդավարական հաստատությունների և մարդու իրավունքների գրասենյակի (ԺՀՄԻԳ) առաջարկությունների հիման վրա՝ Հայաստանի Սահմանադրությանը համապատասխան։</w:t>
            </w:r>
          </w:p>
        </w:tc>
        <w:tc>
          <w:tcPr>
            <w:tcW w:w="2354" w:type="dxa"/>
            <w:vAlign w:val="center"/>
          </w:tcPr>
          <w:p w14:paraId="65F63261"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30F79565"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tc>
      </w:tr>
      <w:tr w:rsidR="007972EA" w:rsidRPr="00F01D06" w14:paraId="15832FD0" w14:textId="77777777" w:rsidTr="00452D41">
        <w:trPr>
          <w:trHeight w:val="1155"/>
        </w:trPr>
        <w:tc>
          <w:tcPr>
            <w:tcW w:w="843" w:type="dxa"/>
          </w:tcPr>
          <w:p w14:paraId="01CDFF72"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56CD637F"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Ապահովել, որ օրենքի գերակայության հիմնական կետերին վերաբերող օրենսդրական փոփոխությունների շուրջ անցկացվեն համապարփակ և ներառական խորհրդակցություններ, և դրանք համապատասխանեցվեն եվրոպական չափանիշներին ու այնպիսի միջազգային մարմինների կողմից ներկայացված առաջարկություններին, ինչպիսիք են Եվրոպայի խորհրդի Վենետիկի հանձնաժողովը, Կոռուպցիայի դեմ պայքարի պետությունների խումբը (ԳՐԵԿՈ) և ԵԱՀԿ/ԺՀՄԻԳ-ն՝ միաժամանակ հաշվի առնելով այլ դերակատարների կողմից ներկայացված առաջարկությունները, ինչպիսինն է Բաց կառավարման գործընկերությունը։</w:t>
            </w:r>
          </w:p>
        </w:tc>
        <w:tc>
          <w:tcPr>
            <w:tcW w:w="2354" w:type="dxa"/>
            <w:vAlign w:val="center"/>
          </w:tcPr>
          <w:p w14:paraId="206EE9FD"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5A135A23"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p w14:paraId="3375D8A4" w14:textId="77777777" w:rsidR="007972EA" w:rsidRPr="007972EA" w:rsidRDefault="007972EA" w:rsidP="00452D41">
            <w:pPr>
              <w:jc w:val="center"/>
              <w:rPr>
                <w:rFonts w:ascii="GHEA Grapalat" w:hAnsi="GHEA Grapalat"/>
                <w:sz w:val="24"/>
                <w:szCs w:val="24"/>
                <w:lang w:val="hy-AM"/>
              </w:rPr>
            </w:pPr>
          </w:p>
          <w:p w14:paraId="4B04E2F2"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Հակակոռուպցիոն քաղաքականության մշակման և մոնիթորինգի վարչություն</w:t>
            </w:r>
          </w:p>
        </w:tc>
      </w:tr>
      <w:tr w:rsidR="007972EA" w:rsidRPr="007972EA" w14:paraId="2F9DB9B9" w14:textId="77777777" w:rsidTr="00452D41">
        <w:trPr>
          <w:trHeight w:val="578"/>
        </w:trPr>
        <w:tc>
          <w:tcPr>
            <w:tcW w:w="843" w:type="dxa"/>
          </w:tcPr>
          <w:p w14:paraId="64CE067E"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4EDBF800"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Ապահովել, որ օրենսդրական և սահմանադրական բարեփոխումները լինեն թափանցիկ և ներառական՝ հիմնված ժողովրդավարական սկզբունքների և օրենքի գերակայության վրա, և դրանցում ներգրավված լինեն հիմնական շահագրգիռ կողմերը, ներառյալ՝ քաղաքացիական հասարակությունը։</w:t>
            </w:r>
          </w:p>
        </w:tc>
        <w:tc>
          <w:tcPr>
            <w:tcW w:w="2354" w:type="dxa"/>
            <w:vAlign w:val="center"/>
          </w:tcPr>
          <w:p w14:paraId="67C5E4E0"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2DEA4D27"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p w14:paraId="109E9A9A" w14:textId="77777777" w:rsidR="007972EA" w:rsidRPr="007972EA" w:rsidRDefault="007972EA" w:rsidP="00452D41">
            <w:pPr>
              <w:jc w:val="center"/>
              <w:rPr>
                <w:rFonts w:ascii="GHEA Grapalat" w:hAnsi="GHEA Grapalat"/>
                <w:sz w:val="24"/>
                <w:szCs w:val="24"/>
                <w:lang w:val="hy-AM"/>
              </w:rPr>
            </w:pPr>
          </w:p>
        </w:tc>
      </w:tr>
      <w:tr w:rsidR="007972EA" w:rsidRPr="007972EA" w14:paraId="573D863B" w14:textId="77777777" w:rsidTr="00452D41">
        <w:trPr>
          <w:trHeight w:val="285"/>
        </w:trPr>
        <w:tc>
          <w:tcPr>
            <w:tcW w:w="14560" w:type="dxa"/>
            <w:gridSpan w:val="4"/>
            <w:vAlign w:val="center"/>
          </w:tcPr>
          <w:p w14:paraId="50EAB563"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Միջնաժամկետ առաջնահերթություններ</w:t>
            </w:r>
          </w:p>
        </w:tc>
      </w:tr>
      <w:tr w:rsidR="007972EA" w:rsidRPr="00F01D06" w14:paraId="3EEE07AE" w14:textId="77777777" w:rsidTr="00452D41">
        <w:trPr>
          <w:trHeight w:val="285"/>
        </w:trPr>
        <w:tc>
          <w:tcPr>
            <w:tcW w:w="843" w:type="dxa"/>
          </w:tcPr>
          <w:p w14:paraId="6E537B85"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13B68159"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ամրապնդել Հայաստանի մարդու իրավունքների համակարգը՝ ներդաշնակեցնելով և ներդնելով մարդու իրավունքների ոլորտում միջազգային և եվրոպական իրավունքը և պրակտիկան։</w:t>
            </w:r>
          </w:p>
        </w:tc>
        <w:tc>
          <w:tcPr>
            <w:tcW w:w="2354" w:type="dxa"/>
            <w:vAlign w:val="center"/>
          </w:tcPr>
          <w:p w14:paraId="5B8CF9B0"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4A53C448"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0A9DD4DA" w14:textId="77777777" w:rsidR="007972EA" w:rsidRPr="007972EA" w:rsidRDefault="007972EA" w:rsidP="00452D41">
            <w:pPr>
              <w:jc w:val="center"/>
              <w:rPr>
                <w:rFonts w:ascii="GHEA Grapalat" w:hAnsi="GHEA Grapalat"/>
                <w:sz w:val="24"/>
                <w:szCs w:val="24"/>
                <w:lang w:val="hy-AM"/>
              </w:rPr>
            </w:pPr>
          </w:p>
          <w:p w14:paraId="63FB68BD"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tc>
      </w:tr>
      <w:tr w:rsidR="007972EA" w:rsidRPr="007972EA" w14:paraId="1E15E963" w14:textId="77777777" w:rsidTr="00452D41">
        <w:trPr>
          <w:trHeight w:val="285"/>
        </w:trPr>
        <w:tc>
          <w:tcPr>
            <w:tcW w:w="14560" w:type="dxa"/>
            <w:gridSpan w:val="4"/>
            <w:shd w:val="clear" w:color="auto" w:fill="F4B083" w:themeFill="accent2" w:themeFillTint="99"/>
            <w:vAlign w:val="center"/>
          </w:tcPr>
          <w:p w14:paraId="4CA98310" w14:textId="77777777" w:rsidR="007972EA" w:rsidRPr="007972EA" w:rsidRDefault="007972EA" w:rsidP="00452D41">
            <w:pPr>
              <w:ind w:left="360"/>
              <w:jc w:val="center"/>
              <w:rPr>
                <w:rFonts w:ascii="GHEA Grapalat" w:hAnsi="GHEA Grapalat"/>
                <w:i/>
                <w:iCs/>
                <w:sz w:val="24"/>
                <w:szCs w:val="24"/>
                <w:lang w:val="hy-AM"/>
              </w:rPr>
            </w:pPr>
            <w:r w:rsidRPr="007972EA">
              <w:rPr>
                <w:rFonts w:ascii="GHEA Grapalat" w:hAnsi="GHEA Grapalat"/>
                <w:i/>
                <w:iCs/>
                <w:sz w:val="24"/>
                <w:szCs w:val="24"/>
                <w:lang w:val="hy-AM"/>
              </w:rPr>
              <w:t>2.1.2. Արդարադատություն</w:t>
            </w:r>
          </w:p>
        </w:tc>
      </w:tr>
      <w:tr w:rsidR="007972EA" w:rsidRPr="007972EA" w14:paraId="2ECFC9A9" w14:textId="77777777" w:rsidTr="00452D41">
        <w:trPr>
          <w:trHeight w:val="285"/>
        </w:trPr>
        <w:tc>
          <w:tcPr>
            <w:tcW w:w="14560" w:type="dxa"/>
            <w:gridSpan w:val="4"/>
            <w:vAlign w:val="center"/>
          </w:tcPr>
          <w:p w14:paraId="49A73602"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7972EA" w14:paraId="5D0D9AC5" w14:textId="77777777" w:rsidTr="00452D41">
        <w:trPr>
          <w:trHeight w:val="165"/>
        </w:trPr>
        <w:tc>
          <w:tcPr>
            <w:tcW w:w="843" w:type="dxa"/>
          </w:tcPr>
          <w:p w14:paraId="7478378D"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42F81049"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արդարադատության ոլորտի բարեփոխումներն՝ ապահովելով դրա անկախությունը, բարեվարքությունը, հաշվետվողականությունը, որակը և արդյունավետությունը՝ Հայաստանի Սահմանադրությանը և միջազգային չափանիշներին համապատասխան։</w:t>
            </w:r>
          </w:p>
        </w:tc>
        <w:tc>
          <w:tcPr>
            <w:tcW w:w="2354" w:type="dxa"/>
            <w:vAlign w:val="center"/>
          </w:tcPr>
          <w:p w14:paraId="4195A84C"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2566350B"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Բոլոր ստորաբաժանումները՝ ըստ վերաբերելիության</w:t>
            </w:r>
          </w:p>
        </w:tc>
      </w:tr>
      <w:tr w:rsidR="007972EA" w:rsidRPr="007972EA" w14:paraId="4782488A" w14:textId="77777777" w:rsidTr="00452D41">
        <w:trPr>
          <w:trHeight w:val="165"/>
        </w:trPr>
        <w:tc>
          <w:tcPr>
            <w:tcW w:w="843" w:type="dxa"/>
          </w:tcPr>
          <w:p w14:paraId="6DF7651C"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46EED271"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Համակարգված ձևով իրականացնել դատական և իրավական բարեփոխումների 2022-2026 թվականների ռազմավարությունը և գործողությունների ծրագիրն՝ անհրաժեշտության դեպքում կատարելով ճշգրտումներ, և ապահովել Մշտադիտարկման խորհրդի կողմից պատշաճ հսկողությունը։</w:t>
            </w:r>
          </w:p>
        </w:tc>
        <w:tc>
          <w:tcPr>
            <w:tcW w:w="2354" w:type="dxa"/>
            <w:vAlign w:val="center"/>
          </w:tcPr>
          <w:p w14:paraId="530C08D9"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2027 թվական</w:t>
            </w:r>
          </w:p>
        </w:tc>
        <w:tc>
          <w:tcPr>
            <w:tcW w:w="3485" w:type="dxa"/>
            <w:vAlign w:val="center"/>
          </w:tcPr>
          <w:p w14:paraId="0FBC57D5"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tc>
      </w:tr>
      <w:tr w:rsidR="007972EA" w:rsidRPr="007972EA" w14:paraId="7DD6DC3F" w14:textId="77777777" w:rsidTr="00452D41">
        <w:trPr>
          <w:trHeight w:val="165"/>
        </w:trPr>
        <w:tc>
          <w:tcPr>
            <w:tcW w:w="843" w:type="dxa"/>
          </w:tcPr>
          <w:p w14:paraId="6C25BEE1"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7F18BB64"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Արդյունավետորեն կիրարկել վերանայված Քրեական օրենսգիրքը և Քրեական դատավարության օրենսգիրքն, այդ թվում՝ համապատասխան շահագրգիռ կողմերի վերապատրաստման և կարողությունների զարգացման միջոցով։</w:t>
            </w:r>
          </w:p>
        </w:tc>
        <w:tc>
          <w:tcPr>
            <w:tcW w:w="2354" w:type="dxa"/>
            <w:vAlign w:val="center"/>
          </w:tcPr>
          <w:p w14:paraId="72D9DCB1" w14:textId="77777777" w:rsidR="007972EA" w:rsidRPr="007972EA" w:rsidRDefault="007972EA" w:rsidP="007972EA">
            <w:pPr>
              <w:jc w:val="center"/>
              <w:rPr>
                <w:rFonts w:ascii="GHEA Grapalat" w:hAnsi="GHEA Grapalat"/>
                <w:sz w:val="24"/>
                <w:szCs w:val="24"/>
              </w:rPr>
            </w:pPr>
            <w:r w:rsidRPr="007972EA">
              <w:rPr>
                <w:rFonts w:ascii="GHEA Grapalat" w:hAnsi="GHEA Grapalat"/>
                <w:sz w:val="24"/>
                <w:szCs w:val="24"/>
                <w:lang w:val="hy-AM"/>
              </w:rPr>
              <w:t>Շարունակական</w:t>
            </w:r>
          </w:p>
        </w:tc>
        <w:tc>
          <w:tcPr>
            <w:tcW w:w="3485" w:type="dxa"/>
            <w:vAlign w:val="center"/>
          </w:tcPr>
          <w:p w14:paraId="2AF46BC3"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tc>
      </w:tr>
      <w:tr w:rsidR="007972EA" w:rsidRPr="007972EA" w14:paraId="4DD8D8AD" w14:textId="77777777" w:rsidTr="00452D41">
        <w:trPr>
          <w:trHeight w:val="165"/>
        </w:trPr>
        <w:tc>
          <w:tcPr>
            <w:tcW w:w="843" w:type="dxa"/>
          </w:tcPr>
          <w:p w14:paraId="36CC56DF"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582D77C3"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Ապահովել Վենետիկի հանձնաժողովի հետ խորհրդակցությունների</w:t>
            </w:r>
          </w:p>
          <w:p w14:paraId="63584A01"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անցկացումը և նրա առաջարկությունների իրականացումը։</w:t>
            </w:r>
          </w:p>
        </w:tc>
        <w:tc>
          <w:tcPr>
            <w:tcW w:w="2354" w:type="dxa"/>
            <w:vAlign w:val="center"/>
          </w:tcPr>
          <w:p w14:paraId="4D1C0438" w14:textId="77777777" w:rsidR="007972EA" w:rsidRPr="007972EA" w:rsidRDefault="007972EA" w:rsidP="007972EA">
            <w:pPr>
              <w:jc w:val="center"/>
              <w:rPr>
                <w:rFonts w:ascii="GHEA Grapalat" w:hAnsi="GHEA Grapalat"/>
                <w:sz w:val="24"/>
                <w:szCs w:val="24"/>
              </w:rPr>
            </w:pPr>
            <w:r w:rsidRPr="007972EA">
              <w:rPr>
                <w:rFonts w:ascii="GHEA Grapalat" w:hAnsi="GHEA Grapalat"/>
                <w:sz w:val="24"/>
                <w:szCs w:val="24"/>
                <w:lang w:val="hy-AM"/>
              </w:rPr>
              <w:t>Շարունակական</w:t>
            </w:r>
          </w:p>
        </w:tc>
        <w:tc>
          <w:tcPr>
            <w:tcW w:w="3485" w:type="dxa"/>
            <w:vAlign w:val="center"/>
          </w:tcPr>
          <w:p w14:paraId="46DABBD9"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50655610" w14:textId="77777777" w:rsidR="007972EA" w:rsidRPr="007972EA" w:rsidRDefault="007972EA" w:rsidP="00452D41">
            <w:pPr>
              <w:jc w:val="center"/>
              <w:rPr>
                <w:rFonts w:ascii="GHEA Grapalat" w:hAnsi="GHEA Grapalat"/>
                <w:sz w:val="24"/>
                <w:szCs w:val="24"/>
                <w:lang w:val="hy-AM"/>
              </w:rPr>
            </w:pPr>
          </w:p>
          <w:p w14:paraId="5AA382AC"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Բոլոր մյուս ստորաբաժանումները՝ ըստ վերաբերելիության</w:t>
            </w:r>
          </w:p>
        </w:tc>
      </w:tr>
      <w:tr w:rsidR="007972EA" w:rsidRPr="007972EA" w14:paraId="6E1347E6" w14:textId="77777777" w:rsidTr="00452D41">
        <w:trPr>
          <w:trHeight w:val="165"/>
        </w:trPr>
        <w:tc>
          <w:tcPr>
            <w:tcW w:w="843" w:type="dxa"/>
          </w:tcPr>
          <w:p w14:paraId="12FD36AC"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17272573"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ապահովել թափանցիկություն և օբյեկտիվություն, բավարար հիմնավորում, համաչափություն և արժանիքահեն չափանիշների կիրառում, եթե կիրառելի են, բոլոր դատավորների և դատախազների ընտրության, նշանակման, գնահատման, առաջխաղացման, տեղափոխման վերաբերյալ որոշումներում, այդ թվում՝ բարձրաստիճան պաշտոններում, ինչպես նաև նրանց վերաբերող կարգապահական համակարգում՝ ամրապնդելով կարգավորող և ինստիտուցիոնալ շրջանակը:</w:t>
            </w:r>
          </w:p>
        </w:tc>
        <w:tc>
          <w:tcPr>
            <w:tcW w:w="2354" w:type="dxa"/>
            <w:vAlign w:val="center"/>
          </w:tcPr>
          <w:p w14:paraId="53D472C2"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18436F58"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tc>
      </w:tr>
      <w:tr w:rsidR="007972EA" w:rsidRPr="007972EA" w14:paraId="2B42B3D7" w14:textId="77777777" w:rsidTr="00452D41">
        <w:trPr>
          <w:trHeight w:val="165"/>
        </w:trPr>
        <w:tc>
          <w:tcPr>
            <w:tcW w:w="843" w:type="dxa"/>
          </w:tcPr>
          <w:p w14:paraId="74BA46F3"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2940D6FC"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բարելավել դատական և դատախազական կառավարման մարմինների անդամների ընտրության և նշանակման մեթոդներում, ինչպես նաև այդ մարմինների որոշումների կայացման գործընթացներում թափանցիկությունը, մերիտոկրատիան և օբյեկտիվությունը և ներդնել կամ ամրապնդել այդ գործընթացներն ապաքաղաքականացնելու երաշխիքներ։</w:t>
            </w:r>
          </w:p>
        </w:tc>
        <w:tc>
          <w:tcPr>
            <w:tcW w:w="2354" w:type="dxa"/>
            <w:vAlign w:val="center"/>
          </w:tcPr>
          <w:p w14:paraId="37843B05"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66D8EE81"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tc>
      </w:tr>
      <w:tr w:rsidR="007972EA" w:rsidRPr="007972EA" w14:paraId="220B6AC0" w14:textId="77777777" w:rsidTr="00452D41">
        <w:trPr>
          <w:trHeight w:val="165"/>
        </w:trPr>
        <w:tc>
          <w:tcPr>
            <w:tcW w:w="843" w:type="dxa"/>
          </w:tcPr>
          <w:p w14:paraId="38FA04F0"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6A9C501D" w14:textId="0B6782A9"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Բարձրացնել արդարադատության ոլորտի արդյունավետությունն՝ ի թիվս այլնի ընդլայնելով վեճերի արտադատական/այլընտրանքային լուծման մեխանիզմների կիրառումն, այդ թվում՝ հաշտարարության և արբիտրաժի միջոցով, ինչպես նաև Արբիտրաժի և հաշտարարության հայաստանյան կենտրոնի (ԱՀՀԿ) ներգրավմամբ՝ ինստիտուցիոնալ գործընկերների աջակցությամբ։</w:t>
            </w:r>
          </w:p>
        </w:tc>
        <w:tc>
          <w:tcPr>
            <w:tcW w:w="2354" w:type="dxa"/>
            <w:vAlign w:val="center"/>
          </w:tcPr>
          <w:p w14:paraId="09BA5C14"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4D6B2230"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tc>
      </w:tr>
      <w:tr w:rsidR="007972EA" w:rsidRPr="007972EA" w14:paraId="42B3EFE8" w14:textId="77777777" w:rsidTr="00452D41">
        <w:trPr>
          <w:trHeight w:val="165"/>
        </w:trPr>
        <w:tc>
          <w:tcPr>
            <w:tcW w:w="843" w:type="dxa"/>
          </w:tcPr>
          <w:p w14:paraId="2B0AFD07"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5F99AEA3"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 xml:space="preserve">Ապահովել բոլոր դատավորների և դատախազների պարտադիր նախնական ուսուցումը, ինչպես նաև շարունակական վերապատրաստումը և կարողությունների զարգացումը, ներառյալ՝ միջազգային դատարանների դատական պրակտիկայի և նրանց հետ </w:t>
            </w:r>
            <w:r w:rsidRPr="007972EA">
              <w:rPr>
                <w:rFonts w:ascii="GHEA Grapalat" w:hAnsi="GHEA Grapalat"/>
                <w:sz w:val="24"/>
                <w:szCs w:val="24"/>
                <w:lang w:val="hy-AM"/>
              </w:rPr>
              <w:lastRenderedPageBreak/>
              <w:t>համագործակցության վերաբերյալ մասնագիտացված վերապատրաստումը</w:t>
            </w:r>
          </w:p>
        </w:tc>
        <w:tc>
          <w:tcPr>
            <w:tcW w:w="2354" w:type="dxa"/>
            <w:vAlign w:val="center"/>
          </w:tcPr>
          <w:p w14:paraId="25CD8CCA"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lastRenderedPageBreak/>
              <w:t xml:space="preserve">Դատավորների համար՝ 2028 թվական, դատախազների </w:t>
            </w:r>
            <w:r w:rsidRPr="007972EA">
              <w:rPr>
                <w:rFonts w:ascii="GHEA Grapalat" w:hAnsi="GHEA Grapalat"/>
                <w:sz w:val="24"/>
                <w:szCs w:val="24"/>
                <w:lang w:val="hy-AM"/>
              </w:rPr>
              <w:lastRenderedPageBreak/>
              <w:t>համար՝ 2030 թվական</w:t>
            </w:r>
          </w:p>
        </w:tc>
        <w:tc>
          <w:tcPr>
            <w:tcW w:w="3485" w:type="dxa"/>
            <w:vAlign w:val="center"/>
          </w:tcPr>
          <w:p w14:paraId="599EF899"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lastRenderedPageBreak/>
              <w:t>Արդարադատության ակադեմիա (համաձայնությամբ)</w:t>
            </w:r>
          </w:p>
        </w:tc>
      </w:tr>
      <w:tr w:rsidR="007972EA" w:rsidRPr="007972EA" w14:paraId="353E9B68" w14:textId="77777777" w:rsidTr="00452D41">
        <w:trPr>
          <w:trHeight w:val="165"/>
        </w:trPr>
        <w:tc>
          <w:tcPr>
            <w:tcW w:w="843" w:type="dxa"/>
          </w:tcPr>
          <w:p w14:paraId="0C076775"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1318B49F"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Բարելավել դատավորների և դատախազների գործունեության գնահատումը, այդ թվում՝ հստակ և օբյեկտիվ գնահատման չափանիշների կիրառման և կանոնավոր գնահատումների իրականացման միջոցով։</w:t>
            </w:r>
          </w:p>
        </w:tc>
        <w:tc>
          <w:tcPr>
            <w:tcW w:w="2354" w:type="dxa"/>
            <w:vAlign w:val="center"/>
          </w:tcPr>
          <w:p w14:paraId="35D5E552" w14:textId="77777777" w:rsidR="007972EA" w:rsidRPr="007972EA" w:rsidRDefault="007972EA" w:rsidP="007972EA">
            <w:pPr>
              <w:jc w:val="center"/>
              <w:rPr>
                <w:rFonts w:ascii="GHEA Grapalat" w:hAnsi="GHEA Grapalat"/>
                <w:sz w:val="24"/>
                <w:szCs w:val="24"/>
                <w:lang w:val="en-US"/>
              </w:rPr>
            </w:pPr>
            <w:r w:rsidRPr="007972EA">
              <w:rPr>
                <w:rFonts w:ascii="GHEA Grapalat" w:hAnsi="GHEA Grapalat"/>
                <w:sz w:val="24"/>
                <w:szCs w:val="24"/>
                <w:lang w:val="hy-AM"/>
              </w:rPr>
              <w:t>202</w:t>
            </w:r>
            <w:r w:rsidRPr="007972EA">
              <w:rPr>
                <w:rFonts w:ascii="GHEA Grapalat" w:hAnsi="GHEA Grapalat"/>
                <w:sz w:val="24"/>
                <w:szCs w:val="24"/>
                <w:lang w:val="en-US"/>
              </w:rPr>
              <w:t>8</w:t>
            </w:r>
            <w:r w:rsidRPr="007972EA">
              <w:rPr>
                <w:rFonts w:ascii="GHEA Grapalat" w:hAnsi="GHEA Grapalat"/>
                <w:sz w:val="24"/>
                <w:szCs w:val="24"/>
                <w:lang w:val="hy-AM"/>
              </w:rPr>
              <w:t xml:space="preserve"> թվական</w:t>
            </w:r>
          </w:p>
        </w:tc>
        <w:tc>
          <w:tcPr>
            <w:tcW w:w="3485" w:type="dxa"/>
            <w:vAlign w:val="center"/>
          </w:tcPr>
          <w:p w14:paraId="69CB3F0C"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tc>
      </w:tr>
      <w:tr w:rsidR="007972EA" w:rsidRPr="00F01D06" w14:paraId="08C94FE9" w14:textId="77777777" w:rsidTr="00452D41">
        <w:trPr>
          <w:trHeight w:val="165"/>
        </w:trPr>
        <w:tc>
          <w:tcPr>
            <w:tcW w:w="843" w:type="dxa"/>
          </w:tcPr>
          <w:p w14:paraId="3DDCBBC6"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581C7059"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Արդարադատության բոլոր հաստատություններին, այդ թվում՝ Կոռուպցիայի կանխարգելման հանձնաժողովին և հակակոռուպցիոն դատարաններին տրամադրել բավարար ռեսուրսներ՝ իրենց գործառույթներն արդյունավետորեն կատարելու համար։</w:t>
            </w:r>
          </w:p>
        </w:tc>
        <w:tc>
          <w:tcPr>
            <w:tcW w:w="2354" w:type="dxa"/>
            <w:vAlign w:val="center"/>
          </w:tcPr>
          <w:p w14:paraId="560EE2DE"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6E9943C2"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Հակակոռուպցիոն քաղաքականության մշակման և մոնիթորինգի վարչություն</w:t>
            </w:r>
          </w:p>
        </w:tc>
      </w:tr>
      <w:tr w:rsidR="007972EA" w:rsidRPr="00F01D06" w14:paraId="589C02E0" w14:textId="77777777" w:rsidTr="00452D41">
        <w:trPr>
          <w:trHeight w:val="165"/>
        </w:trPr>
        <w:tc>
          <w:tcPr>
            <w:tcW w:w="843" w:type="dxa"/>
          </w:tcPr>
          <w:p w14:paraId="2E0B4D60"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02A42A67" w14:textId="77777777" w:rsidR="007972EA" w:rsidRPr="007972EA" w:rsidRDefault="007972EA" w:rsidP="007972EA">
            <w:pPr>
              <w:jc w:val="both"/>
              <w:rPr>
                <w:rFonts w:ascii="GHEA Grapalat" w:hAnsi="GHEA Grapalat"/>
                <w:sz w:val="24"/>
                <w:szCs w:val="24"/>
                <w:highlight w:val="yellow"/>
                <w:lang w:val="hy-AM"/>
              </w:rPr>
            </w:pPr>
            <w:r w:rsidRPr="007972EA">
              <w:rPr>
                <w:rFonts w:ascii="GHEA Grapalat" w:hAnsi="GHEA Grapalat"/>
                <w:sz w:val="24"/>
                <w:szCs w:val="24"/>
                <w:lang w:val="hy-AM"/>
              </w:rPr>
              <w:t>Ապահովել արդարադատության ոլորտում հաշվետվողականությունը, այդ թվում՝ հուսալի կարգապահական համակարգի միջոցով, նաև դատական և դատախազական կառավարման մարմինների անդամների համար՝ միջազգային չափանիշներին համապատասխան։</w:t>
            </w:r>
          </w:p>
        </w:tc>
        <w:tc>
          <w:tcPr>
            <w:tcW w:w="2354" w:type="dxa"/>
            <w:vAlign w:val="center"/>
          </w:tcPr>
          <w:p w14:paraId="6EFB72AE"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3F6B5F12"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p w14:paraId="152B08A3" w14:textId="77777777" w:rsidR="007972EA" w:rsidRPr="007972EA" w:rsidRDefault="007972EA" w:rsidP="00452D41">
            <w:pPr>
              <w:jc w:val="center"/>
              <w:rPr>
                <w:rFonts w:ascii="GHEA Grapalat" w:hAnsi="GHEA Grapalat"/>
                <w:sz w:val="24"/>
                <w:szCs w:val="24"/>
                <w:lang w:val="hy-AM"/>
              </w:rPr>
            </w:pPr>
          </w:p>
          <w:p w14:paraId="2EF7198D"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Վերահսկողական վարչություն</w:t>
            </w:r>
          </w:p>
        </w:tc>
      </w:tr>
      <w:tr w:rsidR="007972EA" w:rsidRPr="00F01D06" w14:paraId="63D6A4F9" w14:textId="77777777" w:rsidTr="00452D41">
        <w:trPr>
          <w:trHeight w:val="165"/>
        </w:trPr>
        <w:tc>
          <w:tcPr>
            <w:tcW w:w="843" w:type="dxa"/>
          </w:tcPr>
          <w:p w14:paraId="74271E3E"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1BC02CAF"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Ապահովել «Եվրաջասթ»-ի հետ համագործակցության մասին» ԵՄ-ի հետ կնքված միջազգային համաձայնագրի լիարժեք կիրարկումը՝ քրեական գործերով դատական համագործակցությունը բարելավելու և Եվրոպական հանրային դատախազի գրասենյակի (EPPO) հետ Հայաստանի համապատասխան գերատեսչությունների ու իշխանությունների համագործակցությունն ընդլայնելու նպատակով։</w:t>
            </w:r>
          </w:p>
        </w:tc>
        <w:tc>
          <w:tcPr>
            <w:tcW w:w="2354" w:type="dxa"/>
            <w:vAlign w:val="center"/>
          </w:tcPr>
          <w:p w14:paraId="367EE84D"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3DA2AAB0" w14:textId="4ED12B01"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247AFE2D" w14:textId="77777777" w:rsidR="007972EA" w:rsidRPr="007972EA" w:rsidRDefault="007972EA" w:rsidP="00452D41">
            <w:pPr>
              <w:jc w:val="center"/>
              <w:rPr>
                <w:rFonts w:ascii="GHEA Grapalat" w:hAnsi="GHEA Grapalat"/>
                <w:sz w:val="24"/>
                <w:szCs w:val="24"/>
                <w:lang w:val="hy-AM"/>
              </w:rPr>
            </w:pPr>
          </w:p>
          <w:p w14:paraId="1D75CED4"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Իրավական փոխօգնության վարչություն</w:t>
            </w:r>
          </w:p>
          <w:p w14:paraId="4B8C639F" w14:textId="77777777" w:rsidR="007972EA" w:rsidRPr="007972EA" w:rsidRDefault="007972EA" w:rsidP="00452D41">
            <w:pPr>
              <w:jc w:val="center"/>
              <w:rPr>
                <w:rFonts w:ascii="GHEA Grapalat" w:hAnsi="GHEA Grapalat"/>
                <w:sz w:val="24"/>
                <w:szCs w:val="24"/>
                <w:lang w:val="hy-AM"/>
              </w:rPr>
            </w:pPr>
          </w:p>
        </w:tc>
      </w:tr>
      <w:tr w:rsidR="007972EA" w:rsidRPr="00F01D06" w14:paraId="35A87487" w14:textId="77777777" w:rsidTr="00452D41">
        <w:trPr>
          <w:trHeight w:val="165"/>
        </w:trPr>
        <w:tc>
          <w:tcPr>
            <w:tcW w:w="843" w:type="dxa"/>
          </w:tcPr>
          <w:p w14:paraId="3C83D8F9"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29278D3E"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Ինչ վերաբերում է քաղաքացիական գործերով դատական համագործակցությանը՝ միանալ «Միջազգային մասնավոր իրավունքի մասին» Հաագայի խորհրդաժողովի համապատասխան կոնվենցիաներին և կիրարկել դրանք։</w:t>
            </w:r>
          </w:p>
        </w:tc>
        <w:tc>
          <w:tcPr>
            <w:tcW w:w="2354" w:type="dxa"/>
            <w:vAlign w:val="center"/>
          </w:tcPr>
          <w:p w14:paraId="6D62539F"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702EDB44"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509EBE1B" w14:textId="77777777" w:rsidR="007972EA" w:rsidRPr="007972EA" w:rsidRDefault="007972EA" w:rsidP="00452D41">
            <w:pPr>
              <w:jc w:val="center"/>
              <w:rPr>
                <w:rFonts w:ascii="GHEA Grapalat" w:hAnsi="GHEA Grapalat"/>
                <w:sz w:val="24"/>
                <w:szCs w:val="24"/>
                <w:lang w:val="hy-AM"/>
              </w:rPr>
            </w:pPr>
          </w:p>
          <w:p w14:paraId="74EFFC21"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Քաղաքացիական կացության ակտերի գրանցման գործակալություն</w:t>
            </w:r>
          </w:p>
        </w:tc>
      </w:tr>
      <w:tr w:rsidR="007972EA" w:rsidRPr="007972EA" w14:paraId="0689642F" w14:textId="77777777" w:rsidTr="00452D41">
        <w:trPr>
          <w:trHeight w:val="165"/>
        </w:trPr>
        <w:tc>
          <w:tcPr>
            <w:tcW w:w="14560" w:type="dxa"/>
            <w:gridSpan w:val="4"/>
            <w:vAlign w:val="center"/>
          </w:tcPr>
          <w:p w14:paraId="66633231" w14:textId="0F8434EE"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Միջնաժամկետ առաջնահերթություններ</w:t>
            </w:r>
          </w:p>
        </w:tc>
      </w:tr>
      <w:tr w:rsidR="007972EA" w:rsidRPr="007972EA" w14:paraId="1B275953" w14:textId="77777777" w:rsidTr="00452D41">
        <w:trPr>
          <w:trHeight w:val="165"/>
        </w:trPr>
        <w:tc>
          <w:tcPr>
            <w:tcW w:w="843" w:type="dxa"/>
          </w:tcPr>
          <w:p w14:paraId="5FD52581"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0F0CBC2E"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Հզորացնել դատական համագործակցության հարցերը կարգավորող ինստիտուցիոնալ կառույցները, մասնավորապես՝ կենտրոնական իշխանությունները, ինչպես նաև միջազգային գործերով զբաղվող դատախազական և դատական մարմինները, և ապահովել համապատասխան ուսուցման և աջակցության տրամադրումը։</w:t>
            </w:r>
          </w:p>
        </w:tc>
        <w:tc>
          <w:tcPr>
            <w:tcW w:w="2354" w:type="dxa"/>
            <w:vAlign w:val="center"/>
          </w:tcPr>
          <w:p w14:paraId="769BDCEA"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547703A7"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Իրավական փոխօգնության վարչություն</w:t>
            </w:r>
          </w:p>
          <w:p w14:paraId="74D4073D" w14:textId="77777777" w:rsidR="007972EA" w:rsidRPr="007972EA" w:rsidRDefault="007972EA" w:rsidP="00452D41">
            <w:pPr>
              <w:jc w:val="center"/>
              <w:rPr>
                <w:rFonts w:ascii="GHEA Grapalat" w:hAnsi="GHEA Grapalat"/>
                <w:sz w:val="24"/>
                <w:szCs w:val="24"/>
                <w:lang w:val="hy-AM"/>
              </w:rPr>
            </w:pPr>
          </w:p>
          <w:p w14:paraId="0526ACBE"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Արդարադատության ակադեմիա (համաձայնությամբ)</w:t>
            </w:r>
          </w:p>
          <w:p w14:paraId="37BDB8FC" w14:textId="77777777" w:rsidR="007972EA" w:rsidRPr="007972EA" w:rsidRDefault="007972EA" w:rsidP="00452D41">
            <w:pPr>
              <w:jc w:val="center"/>
              <w:rPr>
                <w:rFonts w:ascii="GHEA Grapalat" w:hAnsi="GHEA Grapalat"/>
                <w:sz w:val="24"/>
                <w:szCs w:val="24"/>
                <w:lang w:val="hy-AM"/>
              </w:rPr>
            </w:pPr>
          </w:p>
          <w:p w14:paraId="046E6BB9"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tc>
      </w:tr>
      <w:tr w:rsidR="007972EA" w:rsidRPr="00F01D06" w14:paraId="55B3ECD5" w14:textId="77777777" w:rsidTr="00452D41">
        <w:trPr>
          <w:trHeight w:val="660"/>
        </w:trPr>
        <w:tc>
          <w:tcPr>
            <w:tcW w:w="843" w:type="dxa"/>
          </w:tcPr>
          <w:p w14:paraId="4F9A72B5"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732F7460"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Արդարադատության ակադեմիայի կարողությունների ամրապնդումը, ապահովել, որ Ակադեմիայի կարգավիճակը և գործունեությունը համապատասխանեն եվրոպական չափանիշներին, այդ թվում՝ դատական ոլորտում ուսուցման եվրոպական չափանիշներին, և նպաստել համապատասխան եվրոպական դատական ցանցերում Ակադեմիայի ներգրավմանը։</w:t>
            </w:r>
          </w:p>
        </w:tc>
        <w:tc>
          <w:tcPr>
            <w:tcW w:w="2354" w:type="dxa"/>
            <w:vAlign w:val="center"/>
          </w:tcPr>
          <w:p w14:paraId="7E9072EB"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2032 թվական</w:t>
            </w:r>
          </w:p>
        </w:tc>
        <w:tc>
          <w:tcPr>
            <w:tcW w:w="3485" w:type="dxa"/>
            <w:vAlign w:val="center"/>
          </w:tcPr>
          <w:p w14:paraId="06959EE1"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34FCDACE" w14:textId="77777777" w:rsidR="007972EA" w:rsidRPr="007972EA" w:rsidRDefault="007972EA" w:rsidP="00452D41">
            <w:pPr>
              <w:jc w:val="center"/>
              <w:rPr>
                <w:rFonts w:ascii="GHEA Grapalat" w:hAnsi="GHEA Grapalat"/>
                <w:sz w:val="24"/>
                <w:szCs w:val="24"/>
                <w:lang w:val="hy-AM"/>
              </w:rPr>
            </w:pPr>
          </w:p>
          <w:p w14:paraId="0D0D63A2"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Արդարադատության ակադեմիա (համաձայնությամբ)</w:t>
            </w:r>
          </w:p>
        </w:tc>
      </w:tr>
      <w:tr w:rsidR="007972EA" w:rsidRPr="007972EA" w14:paraId="2B92CB47" w14:textId="77777777" w:rsidTr="00452D41">
        <w:trPr>
          <w:trHeight w:val="330"/>
        </w:trPr>
        <w:tc>
          <w:tcPr>
            <w:tcW w:w="843" w:type="dxa"/>
          </w:tcPr>
          <w:p w14:paraId="72917CF2"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52733A63"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Պահպանել հանրության հետ շփումները և շարունակել խորացնել դրանք՝ նպատակ ունենալով բացատրել, թե դատական և անվտանգության ոլորտների բարեփոխումներն ու այլ կարևոր բարեփոխումներ ինչպես են օգուտ բերում բոլորին, և բարձրացնել համակարգի նկատմամբ հանրության վստահությունը։</w:t>
            </w:r>
          </w:p>
        </w:tc>
        <w:tc>
          <w:tcPr>
            <w:tcW w:w="2354" w:type="dxa"/>
            <w:vAlign w:val="center"/>
          </w:tcPr>
          <w:p w14:paraId="2993C627"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25258602"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Բոլոր ստորաբաժանումները՝ ըստ վերաբերելիության</w:t>
            </w:r>
          </w:p>
        </w:tc>
      </w:tr>
      <w:tr w:rsidR="007972EA" w:rsidRPr="00F01D06" w14:paraId="426AD2D8" w14:textId="77777777" w:rsidTr="00452D41">
        <w:trPr>
          <w:trHeight w:val="165"/>
        </w:trPr>
        <w:tc>
          <w:tcPr>
            <w:tcW w:w="843" w:type="dxa"/>
          </w:tcPr>
          <w:p w14:paraId="398D2062"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76203547"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Բարելավել տվյալների հավաքումը և արդարադատության ոլորտի արդյունավետ կառավարումն էլեկտրոնային արդարադատության գործիքների կիրառմամբ։</w:t>
            </w:r>
          </w:p>
        </w:tc>
        <w:tc>
          <w:tcPr>
            <w:tcW w:w="2354" w:type="dxa"/>
            <w:vAlign w:val="center"/>
          </w:tcPr>
          <w:p w14:paraId="4CA8D14A"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0371DE53"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Արդարադատության նախարարության՝ թվայնացման գործընթացները համակարգող պատասխանատու անձինք</w:t>
            </w:r>
          </w:p>
        </w:tc>
      </w:tr>
      <w:tr w:rsidR="007972EA" w:rsidRPr="00F01D06" w14:paraId="6AF37C27" w14:textId="77777777" w:rsidTr="00452D41">
        <w:trPr>
          <w:trHeight w:val="165"/>
        </w:trPr>
        <w:tc>
          <w:tcPr>
            <w:tcW w:w="843" w:type="dxa"/>
          </w:tcPr>
          <w:p w14:paraId="17278741"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627C99D5"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Բարելավել արդարադատության ոլորտի բյուջեի կազմման և կատարման ինստիտուցիոնալ կարողությունները։</w:t>
            </w:r>
          </w:p>
        </w:tc>
        <w:tc>
          <w:tcPr>
            <w:tcW w:w="2354" w:type="dxa"/>
            <w:vAlign w:val="center"/>
          </w:tcPr>
          <w:p w14:paraId="61267CAF"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1C8A2C87"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7BDB008B" w14:textId="77777777" w:rsidR="007972EA" w:rsidRPr="007972EA" w:rsidRDefault="007972EA" w:rsidP="00452D41">
            <w:pPr>
              <w:jc w:val="center"/>
              <w:rPr>
                <w:rFonts w:ascii="GHEA Grapalat" w:hAnsi="GHEA Grapalat"/>
                <w:sz w:val="24"/>
                <w:szCs w:val="24"/>
                <w:lang w:val="hy-AM"/>
              </w:rPr>
            </w:pPr>
          </w:p>
          <w:p w14:paraId="1BB0DBF8"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lastRenderedPageBreak/>
              <w:t>Ֆինանսատնտեսագիտական վարչություն</w:t>
            </w:r>
          </w:p>
        </w:tc>
      </w:tr>
      <w:tr w:rsidR="007972EA" w:rsidRPr="00F01D06" w14:paraId="7A409EE9" w14:textId="77777777" w:rsidTr="00452D41">
        <w:trPr>
          <w:trHeight w:val="165"/>
        </w:trPr>
        <w:tc>
          <w:tcPr>
            <w:tcW w:w="14560" w:type="dxa"/>
            <w:gridSpan w:val="4"/>
            <w:shd w:val="clear" w:color="auto" w:fill="F4B083" w:themeFill="accent2" w:themeFillTint="99"/>
            <w:vAlign w:val="center"/>
          </w:tcPr>
          <w:p w14:paraId="19EED3D0" w14:textId="77777777" w:rsidR="007972EA" w:rsidRPr="007972EA" w:rsidRDefault="007972EA" w:rsidP="00452D41">
            <w:pPr>
              <w:ind w:left="360"/>
              <w:jc w:val="center"/>
              <w:rPr>
                <w:rFonts w:ascii="GHEA Grapalat" w:hAnsi="GHEA Grapalat"/>
                <w:i/>
                <w:iCs/>
                <w:sz w:val="24"/>
                <w:szCs w:val="24"/>
                <w:lang w:val="hy-AM"/>
              </w:rPr>
            </w:pPr>
            <w:r w:rsidRPr="007972EA">
              <w:rPr>
                <w:rFonts w:ascii="GHEA Grapalat" w:hAnsi="GHEA Grapalat"/>
                <w:i/>
                <w:iCs/>
                <w:sz w:val="24"/>
                <w:szCs w:val="24"/>
                <w:lang w:val="hy-AM"/>
              </w:rPr>
              <w:lastRenderedPageBreak/>
              <w:t>2.1.3. Կոռուպցիայի դեմ պայքար, խարդախությունների դեմ պայքար, պետական կառավարման և պետական ծառայության ոլորտի բարեփոխումներ</w:t>
            </w:r>
          </w:p>
        </w:tc>
      </w:tr>
      <w:tr w:rsidR="007972EA" w:rsidRPr="007972EA" w14:paraId="2C3A8094" w14:textId="77777777" w:rsidTr="00452D41">
        <w:trPr>
          <w:trHeight w:val="165"/>
        </w:trPr>
        <w:tc>
          <w:tcPr>
            <w:tcW w:w="14560" w:type="dxa"/>
            <w:gridSpan w:val="4"/>
            <w:vAlign w:val="center"/>
          </w:tcPr>
          <w:p w14:paraId="1C1D545F"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F01D06" w14:paraId="52B90A95" w14:textId="77777777" w:rsidTr="00452D41">
        <w:trPr>
          <w:trHeight w:val="165"/>
        </w:trPr>
        <w:tc>
          <w:tcPr>
            <w:tcW w:w="843" w:type="dxa"/>
          </w:tcPr>
          <w:p w14:paraId="5B636CDB"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1053E527"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Ապահովել Հայաստանի 2023-2026 թվականների հակակոռուպցիոն ռազմավարության և դրանից բխող գործողությունների ծրագրի արդյունավետ իրականացումը՝ ԳՐԵԿՈ-ի ու Տնտեսական համագործակցության և զարգացման կազմակերպության (ՏՀԶԿ) հակակոռուպցիոն ցանցի առաջարկությունների համաձայն։</w:t>
            </w:r>
          </w:p>
        </w:tc>
        <w:tc>
          <w:tcPr>
            <w:tcW w:w="2354" w:type="dxa"/>
            <w:vAlign w:val="center"/>
          </w:tcPr>
          <w:p w14:paraId="7D8AC99A"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5065213D"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Հակակոռուպցիոն քաղաքականության մշակման և մոնիթորինգի վարչություն</w:t>
            </w:r>
          </w:p>
        </w:tc>
      </w:tr>
      <w:tr w:rsidR="007972EA" w:rsidRPr="00F01D06" w14:paraId="3806B08C" w14:textId="77777777" w:rsidTr="00452D41">
        <w:trPr>
          <w:trHeight w:val="165"/>
        </w:trPr>
        <w:tc>
          <w:tcPr>
            <w:tcW w:w="843" w:type="dxa"/>
          </w:tcPr>
          <w:p w14:paraId="1FD7E5C6"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3896A922"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Ամրապնդել հակակոռուպցիոն և բարեվարքության հետ կապված հաստատությունների գործառույթները, այն է՝ Կոռուպցիայի կանխարգելման հանձնաժողով, Հակակոռուպցիոն կոմիտե, Առաջին ատյանի մասնագիտացված հակակոռուպցիոն դատարան, Վճռաբեկ դատարանի հակակոռուպցիոն պալատ և Վերաքննիչ հակակոռուպցիոն դատարան։</w:t>
            </w:r>
          </w:p>
        </w:tc>
        <w:tc>
          <w:tcPr>
            <w:tcW w:w="2354" w:type="dxa"/>
            <w:vAlign w:val="center"/>
          </w:tcPr>
          <w:p w14:paraId="06E34CC8"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59053673"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Հակակոռուպցիոն քաղաքականության մշակման և մոնիթորինգի վարչություն</w:t>
            </w:r>
          </w:p>
        </w:tc>
      </w:tr>
      <w:tr w:rsidR="007972EA" w:rsidRPr="00F01D06" w14:paraId="427B8F1D" w14:textId="77777777" w:rsidTr="00452D41">
        <w:trPr>
          <w:trHeight w:val="165"/>
        </w:trPr>
        <w:tc>
          <w:tcPr>
            <w:tcW w:w="843" w:type="dxa"/>
          </w:tcPr>
          <w:p w14:paraId="73AFAB5F"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354E446A"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կատարելագործել ազդարարման գործող մեխանիզմները և ազդարարների պաշտպանության երաշխիքները։</w:t>
            </w:r>
          </w:p>
        </w:tc>
        <w:tc>
          <w:tcPr>
            <w:tcW w:w="2354" w:type="dxa"/>
            <w:vAlign w:val="center"/>
          </w:tcPr>
          <w:p w14:paraId="16A35560"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2026 թվական</w:t>
            </w:r>
          </w:p>
        </w:tc>
        <w:tc>
          <w:tcPr>
            <w:tcW w:w="3485" w:type="dxa"/>
            <w:vAlign w:val="center"/>
          </w:tcPr>
          <w:p w14:paraId="130F0690"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Հակակոռուպցիոն քաղաքականության մշակման և մոնիթորինգի վարչություն</w:t>
            </w:r>
          </w:p>
        </w:tc>
      </w:tr>
      <w:tr w:rsidR="007972EA" w:rsidRPr="007972EA" w14:paraId="1B67F986" w14:textId="77777777" w:rsidTr="00452D41">
        <w:trPr>
          <w:trHeight w:val="165"/>
        </w:trPr>
        <w:tc>
          <w:tcPr>
            <w:tcW w:w="14560" w:type="dxa"/>
            <w:gridSpan w:val="4"/>
            <w:vAlign w:val="center"/>
          </w:tcPr>
          <w:p w14:paraId="192E2C58"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Միջնաժամկետ առաջնահերթություններ</w:t>
            </w:r>
          </w:p>
        </w:tc>
      </w:tr>
      <w:tr w:rsidR="007972EA" w:rsidRPr="00F01D06" w14:paraId="2F62E6E1" w14:textId="77777777" w:rsidTr="00452D41">
        <w:trPr>
          <w:trHeight w:val="165"/>
        </w:trPr>
        <w:tc>
          <w:tcPr>
            <w:tcW w:w="843" w:type="dxa"/>
          </w:tcPr>
          <w:p w14:paraId="7EDC3D14"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62201955"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Ներդնել էթիկայի, բարեվարքության և կոռուպցիայի կանխարգելման թեմաներ ներառող կրթական ծրագրեր նախադպրոցական հաստատություններում, հանրակրթական դպրոցներում և համալսարաններում և ստեղծել հակակոռուպցիոն կրթության հարթակ, որտեղ դասավանդողները կարող են ներկայացնել իրենց դասավանդման փորձը, դասի հաջողված պլանները և մեթոդները։ Հետագայում մշակել պետական ծառայողների և պետական պաշտոններ զբաղեցնող անձանց, այդ թվում՝ իրավապահ մարմինների, դատախազության և դատական մարմինների համար նախատեսված ուսուցման ծրագրերի հակակոռուպցիոն չափանիշներ և այդ ուսուցումը դարձնել պարտադիր։</w:t>
            </w:r>
          </w:p>
        </w:tc>
        <w:tc>
          <w:tcPr>
            <w:tcW w:w="2354" w:type="dxa"/>
            <w:vAlign w:val="center"/>
          </w:tcPr>
          <w:p w14:paraId="0478AF78"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24F03D0D"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Հակակոռուպցիոն քաղաքականության մշակման և մոնիթորինգի վարչություն</w:t>
            </w:r>
          </w:p>
        </w:tc>
      </w:tr>
      <w:tr w:rsidR="007972EA" w:rsidRPr="00F01D06" w14:paraId="2011844C" w14:textId="77777777" w:rsidTr="00452D41">
        <w:trPr>
          <w:trHeight w:val="165"/>
        </w:trPr>
        <w:tc>
          <w:tcPr>
            <w:tcW w:w="843" w:type="dxa"/>
          </w:tcPr>
          <w:p w14:paraId="00400056"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3259985E"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Մշակել կոռուպցիոն հանցագործությունների քննության ստանդարտ ընթացակարգեր և բարելավել առանց մեղադրական դատավճռի գույքի բռնագանձման մեխանիզմները։</w:t>
            </w:r>
          </w:p>
        </w:tc>
        <w:tc>
          <w:tcPr>
            <w:tcW w:w="2354" w:type="dxa"/>
            <w:vAlign w:val="center"/>
          </w:tcPr>
          <w:p w14:paraId="32371FAC"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2027 թվական</w:t>
            </w:r>
          </w:p>
        </w:tc>
        <w:tc>
          <w:tcPr>
            <w:tcW w:w="3485" w:type="dxa"/>
            <w:vAlign w:val="center"/>
          </w:tcPr>
          <w:p w14:paraId="07C6E354"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Հակակոռուպցիոն քաղաքականության մշակման և մոնիթորինգի վարչություն</w:t>
            </w:r>
          </w:p>
          <w:p w14:paraId="740BB8D2" w14:textId="77777777" w:rsidR="007972EA" w:rsidRPr="007972EA" w:rsidRDefault="007972EA" w:rsidP="00452D41">
            <w:pPr>
              <w:jc w:val="center"/>
              <w:rPr>
                <w:rFonts w:ascii="GHEA Grapalat" w:hAnsi="GHEA Grapalat"/>
                <w:sz w:val="24"/>
                <w:szCs w:val="24"/>
                <w:lang w:val="hy-AM"/>
              </w:rPr>
            </w:pPr>
          </w:p>
          <w:p w14:paraId="00BE500C"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tc>
      </w:tr>
      <w:tr w:rsidR="007972EA" w:rsidRPr="00F01D06" w14:paraId="231DD23D" w14:textId="77777777" w:rsidTr="00452D41">
        <w:trPr>
          <w:trHeight w:val="165"/>
        </w:trPr>
        <w:tc>
          <w:tcPr>
            <w:tcW w:w="14560" w:type="dxa"/>
            <w:gridSpan w:val="4"/>
            <w:shd w:val="clear" w:color="auto" w:fill="F4B083" w:themeFill="accent2" w:themeFillTint="99"/>
            <w:vAlign w:val="center"/>
          </w:tcPr>
          <w:p w14:paraId="5B0D2A54" w14:textId="77777777" w:rsidR="007972EA" w:rsidRPr="007972EA" w:rsidRDefault="007972EA" w:rsidP="00452D41">
            <w:pPr>
              <w:ind w:left="360"/>
              <w:jc w:val="center"/>
              <w:rPr>
                <w:rFonts w:ascii="GHEA Grapalat" w:hAnsi="GHEA Grapalat"/>
                <w:i/>
                <w:iCs/>
                <w:sz w:val="24"/>
                <w:szCs w:val="24"/>
                <w:lang w:val="hy-AM"/>
              </w:rPr>
            </w:pPr>
            <w:r w:rsidRPr="007972EA">
              <w:rPr>
                <w:rFonts w:ascii="GHEA Grapalat" w:hAnsi="GHEA Grapalat"/>
                <w:i/>
                <w:iCs/>
                <w:sz w:val="24"/>
                <w:szCs w:val="24"/>
                <w:lang w:val="hy-AM"/>
              </w:rPr>
              <w:t>2.1.4. Մարդու իրավունքներ և հիմնարար ազատություններ</w:t>
            </w:r>
          </w:p>
        </w:tc>
      </w:tr>
      <w:tr w:rsidR="007972EA" w:rsidRPr="007972EA" w14:paraId="77C235BC" w14:textId="77777777" w:rsidTr="00452D41">
        <w:trPr>
          <w:trHeight w:val="165"/>
        </w:trPr>
        <w:tc>
          <w:tcPr>
            <w:tcW w:w="14560" w:type="dxa"/>
            <w:gridSpan w:val="4"/>
            <w:vAlign w:val="center"/>
          </w:tcPr>
          <w:p w14:paraId="4A1737BD"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7972EA" w14:paraId="5448989E" w14:textId="77777777" w:rsidTr="00452D41">
        <w:trPr>
          <w:trHeight w:val="990"/>
        </w:trPr>
        <w:tc>
          <w:tcPr>
            <w:tcW w:w="843" w:type="dxa"/>
          </w:tcPr>
          <w:p w14:paraId="70945299"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0531A79B"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Մարդու իրավունքների պաշտպանության 2023-2025 թվականների ազգային գործողությունների ծրագրի իրականացումը և մշակել հաջորդ գործողությունների ծրագիրը՝ ներառելով ՄԱԿ-ի մարդու իրավունքների պաշտպանության մեխանիզմների, մասնավորապես՝ պայմանագրային մարմինների, ԵԱՀԿ/ԺՀՄԻԳ-ի, Եվրոպայի խորհրդի, Ռասիզմի և անհանդուրժողականության դեմ պայքարի եվրոպական հանձնաժողովի (ՌԱԵՀ) և մարդու իրավունքների հարցերով միջազգային կազմակերպությունների առաջարկությունները, եթե անհրաժեշտ է։</w:t>
            </w:r>
          </w:p>
        </w:tc>
        <w:tc>
          <w:tcPr>
            <w:tcW w:w="2354" w:type="dxa"/>
            <w:vAlign w:val="center"/>
          </w:tcPr>
          <w:p w14:paraId="5CF787B3"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2026 թվական</w:t>
            </w:r>
          </w:p>
        </w:tc>
        <w:tc>
          <w:tcPr>
            <w:tcW w:w="3485" w:type="dxa"/>
            <w:vAlign w:val="center"/>
          </w:tcPr>
          <w:p w14:paraId="1F1DC62E"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tc>
      </w:tr>
      <w:tr w:rsidR="007972EA" w:rsidRPr="00F01D06" w14:paraId="5802B9D3" w14:textId="77777777" w:rsidTr="00452D41">
        <w:trPr>
          <w:trHeight w:val="495"/>
        </w:trPr>
        <w:tc>
          <w:tcPr>
            <w:tcW w:w="843" w:type="dxa"/>
          </w:tcPr>
          <w:p w14:paraId="0013D14D"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135119AB"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Ապահովել Միջազգային քրեական դատարանի (ՄՔԴ) Հռոմի կանոնադրության կիրարկումը և շարունակել ՄՔԴ պահանջների համաձայն օրենսդրության ներդաշնակեցման համար անհրաժեշտ քայլերը։ Ապահովել ՄՔԴ-ի հետ աշխատանքի համար անհրաժեշտ ֆինանսական ռեսուրսների առկայությունը, ինչպես նաև անձնակազմի մասնագիտացված վերապատրաստումը։</w:t>
            </w:r>
          </w:p>
        </w:tc>
        <w:tc>
          <w:tcPr>
            <w:tcW w:w="2354" w:type="dxa"/>
            <w:vAlign w:val="center"/>
          </w:tcPr>
          <w:p w14:paraId="29526C6C"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5A162E50"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1FFB9AD7" w14:textId="77777777" w:rsidR="007972EA" w:rsidRPr="007972EA" w:rsidRDefault="007972EA" w:rsidP="00452D41">
            <w:pPr>
              <w:jc w:val="center"/>
              <w:rPr>
                <w:rFonts w:ascii="GHEA Grapalat" w:hAnsi="GHEA Grapalat"/>
                <w:sz w:val="24"/>
                <w:szCs w:val="24"/>
                <w:lang w:val="hy-AM"/>
              </w:rPr>
            </w:pPr>
          </w:p>
          <w:p w14:paraId="126FF38A"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Իրավական փոխօգնության վարչություն</w:t>
            </w:r>
          </w:p>
          <w:p w14:paraId="6BDEA8E8" w14:textId="77777777" w:rsidR="007972EA" w:rsidRPr="007972EA" w:rsidRDefault="007972EA" w:rsidP="00452D41">
            <w:pPr>
              <w:jc w:val="center"/>
              <w:rPr>
                <w:rFonts w:ascii="GHEA Grapalat" w:hAnsi="GHEA Grapalat"/>
                <w:sz w:val="24"/>
                <w:szCs w:val="24"/>
                <w:lang w:val="hy-AM"/>
              </w:rPr>
            </w:pPr>
          </w:p>
        </w:tc>
      </w:tr>
      <w:tr w:rsidR="007972EA" w:rsidRPr="007972EA" w14:paraId="5CBDC29E" w14:textId="77777777" w:rsidTr="00452D41">
        <w:trPr>
          <w:trHeight w:val="248"/>
        </w:trPr>
        <w:tc>
          <w:tcPr>
            <w:tcW w:w="843" w:type="dxa"/>
          </w:tcPr>
          <w:p w14:paraId="7B9FC311"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3B0B6733"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Զարգացնել դատավորների, դատախազների և քննիչների կարողություններն ու գիտելիքները՝ ՄՔԴ-ի կանոնների և ընթացակարգերի վերաբերյալ։</w:t>
            </w:r>
          </w:p>
        </w:tc>
        <w:tc>
          <w:tcPr>
            <w:tcW w:w="2354" w:type="dxa"/>
            <w:vAlign w:val="center"/>
          </w:tcPr>
          <w:p w14:paraId="3F82EB77"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1C900934"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Արդարադատության ակադեմիա (համաձայնությամբ)</w:t>
            </w:r>
          </w:p>
        </w:tc>
      </w:tr>
      <w:tr w:rsidR="007972EA" w:rsidRPr="007972EA" w14:paraId="0A7134C7" w14:textId="77777777" w:rsidTr="00452D41">
        <w:trPr>
          <w:trHeight w:val="247"/>
        </w:trPr>
        <w:tc>
          <w:tcPr>
            <w:tcW w:w="14560" w:type="dxa"/>
            <w:gridSpan w:val="4"/>
            <w:vAlign w:val="center"/>
          </w:tcPr>
          <w:p w14:paraId="76E0001C"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Միջնաժամկետ առաջնահերթություններ</w:t>
            </w:r>
          </w:p>
        </w:tc>
      </w:tr>
      <w:tr w:rsidR="007972EA" w:rsidRPr="00F01D06" w14:paraId="10CF4CFA" w14:textId="77777777" w:rsidTr="00452D41">
        <w:trPr>
          <w:trHeight w:val="495"/>
        </w:trPr>
        <w:tc>
          <w:tcPr>
            <w:tcW w:w="843" w:type="dxa"/>
          </w:tcPr>
          <w:p w14:paraId="34025A7C"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5956169F"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Ապահովել վեճերի կարգավորման և մարդու իրավունքների պաշտպանության արդյունավետ մեխանիզմների առկայությունը, որոնք պետք է կիրառվեն դատական մեխանիզմներին դիմելուց առաջ կամ որպես դրանց այլընտրանք։</w:t>
            </w:r>
          </w:p>
        </w:tc>
        <w:tc>
          <w:tcPr>
            <w:tcW w:w="2354" w:type="dxa"/>
            <w:vAlign w:val="center"/>
          </w:tcPr>
          <w:p w14:paraId="56AEA7DA"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056A4B16"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p w14:paraId="59CF4C41" w14:textId="77777777" w:rsidR="007972EA" w:rsidRPr="007972EA" w:rsidRDefault="007972EA" w:rsidP="00452D41">
            <w:pPr>
              <w:jc w:val="center"/>
              <w:rPr>
                <w:rFonts w:ascii="GHEA Grapalat" w:hAnsi="GHEA Grapalat"/>
                <w:sz w:val="24"/>
                <w:szCs w:val="24"/>
                <w:lang w:val="hy-AM"/>
              </w:rPr>
            </w:pPr>
          </w:p>
          <w:p w14:paraId="00AD3B79"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tc>
      </w:tr>
      <w:tr w:rsidR="007972EA" w:rsidRPr="007972EA" w14:paraId="46F71437" w14:textId="77777777" w:rsidTr="00452D41">
        <w:trPr>
          <w:trHeight w:val="660"/>
        </w:trPr>
        <w:tc>
          <w:tcPr>
            <w:tcW w:w="843" w:type="dxa"/>
          </w:tcPr>
          <w:p w14:paraId="7BC8D940"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63436E10"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համագործակցել մարդու իրավունքները պաշտպանելու, մասնավորապես՝ դատական համակարգում, իրավապահ մարմիններում և բոլոր պետական կառավարման մարմիններում, այդ թվում՝ Հայաստանի մարզերում, խտրականության բացառումը խթանելու, դրանց վերաբերյալ իրազեկելու և վերապատրաստելու ուղղությամբ։</w:t>
            </w:r>
          </w:p>
        </w:tc>
        <w:tc>
          <w:tcPr>
            <w:tcW w:w="2354" w:type="dxa"/>
            <w:vAlign w:val="center"/>
          </w:tcPr>
          <w:p w14:paraId="2CE23D25"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7E508C67"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7327550F" w14:textId="77777777" w:rsidR="007972EA" w:rsidRPr="007972EA" w:rsidRDefault="007972EA" w:rsidP="00452D41">
            <w:pPr>
              <w:jc w:val="center"/>
              <w:rPr>
                <w:rFonts w:ascii="GHEA Grapalat" w:hAnsi="GHEA Grapalat"/>
                <w:sz w:val="24"/>
                <w:szCs w:val="24"/>
                <w:lang w:val="hy-AM"/>
              </w:rPr>
            </w:pPr>
          </w:p>
        </w:tc>
      </w:tr>
      <w:tr w:rsidR="007972EA" w:rsidRPr="007972EA" w14:paraId="38F34883" w14:textId="77777777" w:rsidTr="00452D41">
        <w:trPr>
          <w:trHeight w:val="330"/>
        </w:trPr>
        <w:tc>
          <w:tcPr>
            <w:tcW w:w="843" w:type="dxa"/>
          </w:tcPr>
          <w:p w14:paraId="0FCF4DE3"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1EEBB105"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համագործակցել և բովանդակալից խորհրդակցություններ անցկացնել քաղաքացիական հասարակության կազմակերպությունների և ներկայացուցչական սոցիալական գործընկերների (արհմիությունների և գործատուների կազմակերպությունների) հետ՝ որպես շահագրգիռ կողմեր և դիտորդներ այն ոլորտներում, որոնց առաջնահերթություն է տրված ՀԸԳՀ-ում։</w:t>
            </w:r>
          </w:p>
        </w:tc>
        <w:tc>
          <w:tcPr>
            <w:tcW w:w="2354" w:type="dxa"/>
            <w:vAlign w:val="center"/>
          </w:tcPr>
          <w:p w14:paraId="52F2BF18"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4599D0FD"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Բոլոր ստորաբաժանումները՝ ըստ վերաբերելիության</w:t>
            </w:r>
          </w:p>
        </w:tc>
      </w:tr>
      <w:tr w:rsidR="007972EA" w:rsidRPr="007972EA" w14:paraId="50B40306" w14:textId="77777777" w:rsidTr="00452D41">
        <w:trPr>
          <w:trHeight w:val="330"/>
        </w:trPr>
        <w:tc>
          <w:tcPr>
            <w:tcW w:w="14560" w:type="dxa"/>
            <w:gridSpan w:val="4"/>
            <w:shd w:val="clear" w:color="auto" w:fill="F4B083" w:themeFill="accent2" w:themeFillTint="99"/>
            <w:vAlign w:val="center"/>
          </w:tcPr>
          <w:p w14:paraId="683191D2" w14:textId="77777777" w:rsidR="007972EA" w:rsidRPr="007972EA" w:rsidRDefault="007972EA" w:rsidP="00452D41">
            <w:pPr>
              <w:ind w:left="360"/>
              <w:jc w:val="center"/>
              <w:rPr>
                <w:rFonts w:ascii="GHEA Grapalat" w:hAnsi="GHEA Grapalat"/>
                <w:i/>
                <w:iCs/>
                <w:sz w:val="24"/>
                <w:szCs w:val="24"/>
                <w:lang w:val="hy-AM"/>
              </w:rPr>
            </w:pPr>
            <w:r w:rsidRPr="007972EA">
              <w:rPr>
                <w:rFonts w:ascii="GHEA Grapalat" w:hAnsi="GHEA Grapalat"/>
                <w:i/>
                <w:iCs/>
                <w:sz w:val="24"/>
                <w:szCs w:val="24"/>
                <w:lang w:val="hy-AM"/>
              </w:rPr>
              <w:t>2.1.5</w:t>
            </w:r>
            <w:r w:rsidRPr="007972EA">
              <w:rPr>
                <w:rFonts w:ascii="GHEA Grapalat" w:hAnsi="GHEA Grapalat" w:cs="Cambria Math"/>
                <w:i/>
                <w:iCs/>
                <w:sz w:val="24"/>
                <w:szCs w:val="24"/>
              </w:rPr>
              <w:t xml:space="preserve">. </w:t>
            </w:r>
            <w:r w:rsidRPr="007972EA">
              <w:rPr>
                <w:rFonts w:ascii="GHEA Grapalat" w:hAnsi="GHEA Grapalat"/>
                <w:i/>
                <w:iCs/>
                <w:sz w:val="24"/>
                <w:szCs w:val="24"/>
                <w:lang w:val="hy-AM"/>
              </w:rPr>
              <w:t>Վատ վերաբերմունք և խոշտանգում</w:t>
            </w:r>
          </w:p>
        </w:tc>
      </w:tr>
      <w:tr w:rsidR="007972EA" w:rsidRPr="007972EA" w14:paraId="7B6FBD18" w14:textId="77777777" w:rsidTr="00452D41">
        <w:trPr>
          <w:trHeight w:val="330"/>
        </w:trPr>
        <w:tc>
          <w:tcPr>
            <w:tcW w:w="14560" w:type="dxa"/>
            <w:gridSpan w:val="4"/>
            <w:vAlign w:val="center"/>
          </w:tcPr>
          <w:p w14:paraId="24E4DFF0"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F01D06" w14:paraId="1D1E6A1E" w14:textId="77777777" w:rsidTr="00452D41">
        <w:trPr>
          <w:trHeight w:val="248"/>
        </w:trPr>
        <w:tc>
          <w:tcPr>
            <w:tcW w:w="843" w:type="dxa"/>
          </w:tcPr>
          <w:p w14:paraId="08B649CB" w14:textId="77777777" w:rsidR="007972EA" w:rsidRPr="007972EA" w:rsidRDefault="007972EA" w:rsidP="007972EA">
            <w:pPr>
              <w:numPr>
                <w:ilvl w:val="0"/>
                <w:numId w:val="1"/>
              </w:numPr>
              <w:contextualSpacing/>
              <w:jc w:val="both"/>
              <w:rPr>
                <w:rFonts w:ascii="GHEA Grapalat" w:hAnsi="GHEA Grapalat"/>
                <w:sz w:val="24"/>
                <w:szCs w:val="24"/>
              </w:rPr>
            </w:pPr>
          </w:p>
        </w:tc>
        <w:tc>
          <w:tcPr>
            <w:tcW w:w="7878" w:type="dxa"/>
          </w:tcPr>
          <w:p w14:paraId="54399ED3"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Ապահովել քրեական արդարադատության օրենսդրության, մասնավորապես՝ փոփոխված Քրեական օրենսգրքի և Քրեական դատավարության օրենսգրքի լիարժեք կիրարկումը՝ մարդու իրավունքների եվրոպական չափանիշների և Եվրոպայի խորհրդի առաջարկությունների համաձայն։</w:t>
            </w:r>
          </w:p>
        </w:tc>
        <w:tc>
          <w:tcPr>
            <w:tcW w:w="2354" w:type="dxa"/>
            <w:vAlign w:val="center"/>
          </w:tcPr>
          <w:p w14:paraId="418EF9B1"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250DCA81"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tc>
      </w:tr>
      <w:tr w:rsidR="007972EA" w:rsidRPr="00F01D06" w14:paraId="2D8B82D4" w14:textId="77777777" w:rsidTr="00452D41">
        <w:trPr>
          <w:trHeight w:val="165"/>
        </w:trPr>
        <w:tc>
          <w:tcPr>
            <w:tcW w:w="843" w:type="dxa"/>
          </w:tcPr>
          <w:p w14:paraId="32D9BDAB"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664E0882"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քրեակատարողական օրենսդրության բարելավումը՝ որպես քրեական արդարադատության ոլորտի առավել ընդգրկուն բարեփոխումների մաս, և նպաստել արդյունավետ վերականգնողական արդարադատությանը և նպատակային պատժի սահմանմանը:</w:t>
            </w:r>
          </w:p>
        </w:tc>
        <w:tc>
          <w:tcPr>
            <w:tcW w:w="2354" w:type="dxa"/>
            <w:vAlign w:val="center"/>
          </w:tcPr>
          <w:p w14:paraId="5AA956B1"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2D6F9A9F"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tc>
      </w:tr>
      <w:tr w:rsidR="007972EA" w:rsidRPr="007972EA" w14:paraId="0C216892" w14:textId="77777777" w:rsidTr="00452D41">
        <w:trPr>
          <w:trHeight w:val="165"/>
        </w:trPr>
        <w:tc>
          <w:tcPr>
            <w:tcW w:w="843" w:type="dxa"/>
          </w:tcPr>
          <w:p w14:paraId="5C26DA47"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5990B8C6"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հաշմանդամություն ունեցող և անչափահաս կալանավորների կալանքի պայմանների բարելավումը և հաշվի առնել խոցելի իրավիճակներում գտնվող կալանավորների հատուկ կարիքներն՝ առանց որևէ խտրականության։</w:t>
            </w:r>
          </w:p>
        </w:tc>
        <w:tc>
          <w:tcPr>
            <w:tcW w:w="2354" w:type="dxa"/>
            <w:vAlign w:val="center"/>
          </w:tcPr>
          <w:p w14:paraId="200D5BBF"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3B8583BB"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p w14:paraId="0C1B7281" w14:textId="77777777" w:rsidR="007972EA" w:rsidRPr="007972EA" w:rsidRDefault="007972EA" w:rsidP="00452D41">
            <w:pPr>
              <w:jc w:val="center"/>
              <w:rPr>
                <w:rFonts w:ascii="GHEA Grapalat" w:hAnsi="GHEA Grapalat"/>
                <w:sz w:val="24"/>
                <w:szCs w:val="24"/>
                <w:lang w:val="hy-AM"/>
              </w:rPr>
            </w:pPr>
          </w:p>
          <w:p w14:paraId="140482FA"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tc>
      </w:tr>
      <w:tr w:rsidR="007972EA" w:rsidRPr="007972EA" w14:paraId="6179FC50" w14:textId="77777777" w:rsidTr="00452D41">
        <w:trPr>
          <w:trHeight w:val="165"/>
        </w:trPr>
        <w:tc>
          <w:tcPr>
            <w:tcW w:w="14560" w:type="dxa"/>
            <w:gridSpan w:val="4"/>
            <w:vAlign w:val="center"/>
          </w:tcPr>
          <w:p w14:paraId="78B561E8"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Միջնաժամկետ առաջնահերթություններ</w:t>
            </w:r>
          </w:p>
        </w:tc>
      </w:tr>
      <w:tr w:rsidR="007972EA" w:rsidRPr="007972EA" w14:paraId="54577531" w14:textId="77777777" w:rsidTr="00452D41">
        <w:trPr>
          <w:trHeight w:val="165"/>
        </w:trPr>
        <w:tc>
          <w:tcPr>
            <w:tcW w:w="843" w:type="dxa"/>
          </w:tcPr>
          <w:p w14:paraId="1FD16CCB" w14:textId="77777777" w:rsidR="007972EA" w:rsidRPr="007972EA" w:rsidRDefault="007972EA" w:rsidP="007972EA">
            <w:pPr>
              <w:numPr>
                <w:ilvl w:val="0"/>
                <w:numId w:val="1"/>
              </w:numPr>
              <w:contextualSpacing/>
              <w:jc w:val="both"/>
              <w:rPr>
                <w:rFonts w:ascii="GHEA Grapalat" w:hAnsi="GHEA Grapalat"/>
                <w:sz w:val="24"/>
                <w:szCs w:val="24"/>
              </w:rPr>
            </w:pPr>
          </w:p>
        </w:tc>
        <w:tc>
          <w:tcPr>
            <w:tcW w:w="7878" w:type="dxa"/>
          </w:tcPr>
          <w:p w14:paraId="40477885"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քրեակատարողական համակարգի, ոստիկանության, բանակի և այլ փակ հաստատությունների ներքին և արտաքին մշտադիտարկման արդյունավետության բարելավումը՝ բռնության և վատ վերաբերմունքի վաղ հայտնաբերման և կանխարգելման համար։</w:t>
            </w:r>
          </w:p>
        </w:tc>
        <w:tc>
          <w:tcPr>
            <w:tcW w:w="2354" w:type="dxa"/>
            <w:vAlign w:val="center"/>
          </w:tcPr>
          <w:p w14:paraId="10E758D1"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1646FCE1"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p w14:paraId="3C600AFF" w14:textId="77777777" w:rsidR="007972EA" w:rsidRPr="007972EA" w:rsidRDefault="007972EA" w:rsidP="00452D41">
            <w:pPr>
              <w:jc w:val="center"/>
              <w:rPr>
                <w:rFonts w:ascii="GHEA Grapalat" w:hAnsi="GHEA Grapalat"/>
                <w:sz w:val="24"/>
                <w:szCs w:val="24"/>
                <w:lang w:val="hy-AM"/>
              </w:rPr>
            </w:pPr>
          </w:p>
          <w:p w14:paraId="4B92A883"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Վերահսկողական վարչություն</w:t>
            </w:r>
          </w:p>
        </w:tc>
      </w:tr>
      <w:tr w:rsidR="007972EA" w:rsidRPr="007972EA" w14:paraId="07625D05" w14:textId="77777777" w:rsidTr="00452D41">
        <w:trPr>
          <w:trHeight w:val="165"/>
        </w:trPr>
        <w:tc>
          <w:tcPr>
            <w:tcW w:w="14560" w:type="dxa"/>
            <w:gridSpan w:val="4"/>
            <w:shd w:val="clear" w:color="auto" w:fill="F4B083" w:themeFill="accent2" w:themeFillTint="99"/>
            <w:vAlign w:val="center"/>
          </w:tcPr>
          <w:p w14:paraId="3A37BD35" w14:textId="77777777" w:rsidR="007972EA" w:rsidRPr="007972EA" w:rsidRDefault="007972EA" w:rsidP="00452D41">
            <w:pPr>
              <w:ind w:left="360"/>
              <w:jc w:val="center"/>
              <w:rPr>
                <w:rFonts w:ascii="GHEA Grapalat" w:hAnsi="GHEA Grapalat"/>
                <w:i/>
                <w:iCs/>
                <w:sz w:val="24"/>
                <w:szCs w:val="24"/>
                <w:lang w:val="hy-AM"/>
              </w:rPr>
            </w:pPr>
            <w:r w:rsidRPr="007972EA">
              <w:rPr>
                <w:rFonts w:ascii="GHEA Grapalat" w:hAnsi="GHEA Grapalat"/>
                <w:i/>
                <w:iCs/>
                <w:sz w:val="24"/>
                <w:szCs w:val="24"/>
                <w:lang w:val="hy-AM"/>
              </w:rPr>
              <w:t>2.1.6</w:t>
            </w:r>
            <w:r w:rsidRPr="007972EA">
              <w:rPr>
                <w:rFonts w:ascii="Cambria Math" w:hAnsi="Cambria Math" w:cs="Cambria Math"/>
                <w:i/>
                <w:iCs/>
                <w:sz w:val="24"/>
                <w:szCs w:val="24"/>
                <w:lang w:val="hy-AM"/>
              </w:rPr>
              <w:t>․</w:t>
            </w:r>
            <w:r w:rsidRPr="007972EA">
              <w:rPr>
                <w:rFonts w:ascii="GHEA Grapalat" w:hAnsi="GHEA Grapalat"/>
                <w:i/>
                <w:iCs/>
                <w:sz w:val="24"/>
                <w:szCs w:val="24"/>
                <w:lang w:val="hy-AM"/>
              </w:rPr>
              <w:t xml:space="preserve"> Հավասարություն և խտրականության բացառում</w:t>
            </w:r>
          </w:p>
        </w:tc>
      </w:tr>
      <w:tr w:rsidR="007972EA" w:rsidRPr="007972EA" w14:paraId="3B080565" w14:textId="77777777" w:rsidTr="00452D41">
        <w:trPr>
          <w:trHeight w:val="165"/>
        </w:trPr>
        <w:tc>
          <w:tcPr>
            <w:tcW w:w="14560" w:type="dxa"/>
            <w:gridSpan w:val="4"/>
            <w:vAlign w:val="center"/>
          </w:tcPr>
          <w:p w14:paraId="63973639"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7972EA" w14:paraId="6BFB0F0E" w14:textId="77777777" w:rsidTr="00452D41">
        <w:trPr>
          <w:trHeight w:val="165"/>
        </w:trPr>
        <w:tc>
          <w:tcPr>
            <w:tcW w:w="843" w:type="dxa"/>
          </w:tcPr>
          <w:p w14:paraId="3DC3C19E" w14:textId="77777777" w:rsidR="007972EA" w:rsidRPr="007972EA" w:rsidRDefault="007972EA" w:rsidP="007972EA">
            <w:pPr>
              <w:numPr>
                <w:ilvl w:val="0"/>
                <w:numId w:val="1"/>
              </w:numPr>
              <w:contextualSpacing/>
              <w:jc w:val="both"/>
              <w:rPr>
                <w:rFonts w:ascii="GHEA Grapalat" w:hAnsi="GHEA Grapalat"/>
                <w:sz w:val="24"/>
                <w:szCs w:val="24"/>
              </w:rPr>
            </w:pPr>
          </w:p>
        </w:tc>
        <w:tc>
          <w:tcPr>
            <w:tcW w:w="7878" w:type="dxa"/>
          </w:tcPr>
          <w:p w14:paraId="19E7A0A5"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վճռական քայլեր ձեռնարկել բոլորի համար հավասարություն ապահովելու և ցանկացած հիմքով խտրականության դեմ պայքարելու համար նաև այն դեպքերում, երբ դա ուղղված է կանանց և աղջիկների, ազգային, կրոնական և այլ փոքրամասնություններին պատկանող անձանց, հաշմանդամություն ունեցող անձանց, երիտասարդ կամ տարեցների և ԼԳԲՏԻ անձանց դեմ՝ սոցիալական, քաղաքական և տնտեսական կյանքում։ Ընդ որում, սկզբունքորեն կարևոր է հատուկ ուշադրություն դարձնել խտրականության բազմակի և հատվող ձևերին։</w:t>
            </w:r>
          </w:p>
        </w:tc>
        <w:tc>
          <w:tcPr>
            <w:tcW w:w="2354" w:type="dxa"/>
            <w:vAlign w:val="center"/>
          </w:tcPr>
          <w:p w14:paraId="660A900A"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3E44AF04"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tc>
      </w:tr>
      <w:tr w:rsidR="007972EA" w:rsidRPr="007972EA" w14:paraId="1962CC29" w14:textId="77777777" w:rsidTr="00452D41">
        <w:trPr>
          <w:trHeight w:val="165"/>
        </w:trPr>
        <w:tc>
          <w:tcPr>
            <w:tcW w:w="843" w:type="dxa"/>
          </w:tcPr>
          <w:p w14:paraId="197D8DCA"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00B5420C"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 xml:space="preserve">Ամրապնդել և ապահովել «Իրավահավասարության ապահովման մասին» օրենքի կիրարկումը և իրավահավասարության ապահովման </w:t>
            </w:r>
            <w:r w:rsidRPr="007972EA">
              <w:rPr>
                <w:rFonts w:ascii="GHEA Grapalat" w:hAnsi="GHEA Grapalat"/>
                <w:sz w:val="24"/>
                <w:szCs w:val="24"/>
                <w:lang w:val="hy-AM"/>
              </w:rPr>
              <w:lastRenderedPageBreak/>
              <w:t>անկախ ազգային մարմնի ստեղծումն անհրաժեշտ մարդկային և ֆինանսական ռեսուրսներով։</w:t>
            </w:r>
          </w:p>
        </w:tc>
        <w:tc>
          <w:tcPr>
            <w:tcW w:w="2354" w:type="dxa"/>
            <w:vAlign w:val="center"/>
          </w:tcPr>
          <w:p w14:paraId="44B37AA9"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lastRenderedPageBreak/>
              <w:t>2028 թվական</w:t>
            </w:r>
          </w:p>
        </w:tc>
        <w:tc>
          <w:tcPr>
            <w:tcW w:w="3485" w:type="dxa"/>
            <w:vAlign w:val="center"/>
          </w:tcPr>
          <w:p w14:paraId="347576FE"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tc>
      </w:tr>
      <w:tr w:rsidR="007972EA" w:rsidRPr="007972EA" w14:paraId="536D870D" w14:textId="77777777" w:rsidTr="00452D41">
        <w:trPr>
          <w:trHeight w:val="165"/>
        </w:trPr>
        <w:tc>
          <w:tcPr>
            <w:tcW w:w="843" w:type="dxa"/>
          </w:tcPr>
          <w:p w14:paraId="7E3F0B38"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539E6ABD"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Ձեռնարկել լրացուցիչ միջոցներ՝ ապահովելու համար, որ ատելության շարժառիթով կատարված հանցագործություններն, այդ թվում՝ ԼԳԲՏԻ անձանց դեմ, կանխվեն, քննվեն և պատժվեն բոլոր համապատասխան միջոցներով, ներառյալ՝ կողմնակալ շարժառիթները որպես ծանրացուցիչ հանգամանքներ ճանաչելը և համապատասխան իրավական շրջանակի առկայությունն ապահովելը։</w:t>
            </w:r>
          </w:p>
        </w:tc>
        <w:tc>
          <w:tcPr>
            <w:tcW w:w="2354" w:type="dxa"/>
            <w:vAlign w:val="center"/>
          </w:tcPr>
          <w:p w14:paraId="7F71B730"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488DA72B"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p w14:paraId="7D530AD6" w14:textId="77777777" w:rsidR="007972EA" w:rsidRPr="007972EA" w:rsidRDefault="007972EA" w:rsidP="00452D41">
            <w:pPr>
              <w:jc w:val="center"/>
              <w:rPr>
                <w:rFonts w:ascii="GHEA Grapalat" w:hAnsi="GHEA Grapalat"/>
                <w:sz w:val="24"/>
                <w:szCs w:val="24"/>
                <w:lang w:val="hy-AM"/>
              </w:rPr>
            </w:pPr>
          </w:p>
          <w:p w14:paraId="75D3BB5C"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56C7AFEE" w14:textId="77777777" w:rsidR="007972EA" w:rsidRPr="007972EA" w:rsidRDefault="007972EA" w:rsidP="00452D41">
            <w:pPr>
              <w:jc w:val="center"/>
              <w:rPr>
                <w:rFonts w:ascii="GHEA Grapalat" w:hAnsi="GHEA Grapalat"/>
                <w:sz w:val="24"/>
                <w:szCs w:val="24"/>
                <w:lang w:val="hy-AM"/>
              </w:rPr>
            </w:pPr>
          </w:p>
          <w:p w14:paraId="45B532E0" w14:textId="77777777" w:rsidR="007972EA" w:rsidRPr="007972EA" w:rsidRDefault="007972EA" w:rsidP="00452D41">
            <w:pPr>
              <w:jc w:val="center"/>
              <w:rPr>
                <w:rFonts w:ascii="GHEA Grapalat" w:hAnsi="GHEA Grapalat"/>
                <w:sz w:val="24"/>
                <w:szCs w:val="24"/>
                <w:lang w:val="hy-AM"/>
              </w:rPr>
            </w:pPr>
          </w:p>
        </w:tc>
      </w:tr>
      <w:tr w:rsidR="007972EA" w:rsidRPr="007972EA" w14:paraId="3B1522B9" w14:textId="77777777" w:rsidTr="00452D41">
        <w:trPr>
          <w:trHeight w:val="165"/>
        </w:trPr>
        <w:tc>
          <w:tcPr>
            <w:tcW w:w="14560" w:type="dxa"/>
            <w:gridSpan w:val="4"/>
            <w:shd w:val="clear" w:color="auto" w:fill="C45911" w:themeFill="accent2" w:themeFillShade="BF"/>
            <w:vAlign w:val="center"/>
          </w:tcPr>
          <w:p w14:paraId="2BE2E919" w14:textId="77777777" w:rsidR="007972EA" w:rsidRPr="007972EA" w:rsidRDefault="007972EA" w:rsidP="00452D41">
            <w:pPr>
              <w:ind w:left="360"/>
              <w:jc w:val="center"/>
              <w:rPr>
                <w:rFonts w:ascii="GHEA Grapalat" w:hAnsi="GHEA Grapalat"/>
                <w:b/>
                <w:bCs/>
                <w:sz w:val="24"/>
                <w:szCs w:val="24"/>
                <w:lang w:val="hy-AM"/>
              </w:rPr>
            </w:pPr>
            <w:r w:rsidRPr="007972EA">
              <w:rPr>
                <w:rFonts w:ascii="GHEA Grapalat" w:hAnsi="GHEA Grapalat"/>
                <w:b/>
                <w:bCs/>
                <w:sz w:val="24"/>
                <w:szCs w:val="24"/>
                <w:lang w:val="hy-AM"/>
              </w:rPr>
              <w:t>2.2. Ազատություն, շարժունակություն և անվտանգություն</w:t>
            </w:r>
          </w:p>
        </w:tc>
      </w:tr>
      <w:tr w:rsidR="007972EA" w:rsidRPr="007972EA" w14:paraId="597540DC" w14:textId="77777777" w:rsidTr="00452D41">
        <w:trPr>
          <w:trHeight w:val="165"/>
        </w:trPr>
        <w:tc>
          <w:tcPr>
            <w:tcW w:w="14560" w:type="dxa"/>
            <w:gridSpan w:val="4"/>
            <w:shd w:val="clear" w:color="auto" w:fill="F4B083" w:themeFill="accent2" w:themeFillTint="99"/>
            <w:vAlign w:val="center"/>
          </w:tcPr>
          <w:p w14:paraId="34E1E75A" w14:textId="77777777" w:rsidR="007972EA" w:rsidRPr="007972EA" w:rsidRDefault="007972EA" w:rsidP="00452D41">
            <w:pPr>
              <w:ind w:left="360"/>
              <w:jc w:val="center"/>
              <w:rPr>
                <w:rFonts w:ascii="GHEA Grapalat" w:hAnsi="GHEA Grapalat"/>
                <w:i/>
                <w:iCs/>
                <w:sz w:val="24"/>
                <w:szCs w:val="24"/>
                <w:lang w:val="ru-RU"/>
              </w:rPr>
            </w:pPr>
            <w:r w:rsidRPr="007972EA">
              <w:rPr>
                <w:rFonts w:ascii="GHEA Grapalat" w:hAnsi="GHEA Grapalat"/>
                <w:i/>
                <w:iCs/>
                <w:sz w:val="24"/>
                <w:szCs w:val="24"/>
                <w:lang w:val="ru-RU"/>
              </w:rPr>
              <w:t>2.2.1. Անձնական տվյալների պաշտպանություն</w:t>
            </w:r>
          </w:p>
        </w:tc>
      </w:tr>
      <w:tr w:rsidR="00E33DDA" w:rsidRPr="007972EA" w14:paraId="02E6B975" w14:textId="77777777" w:rsidTr="00452D41">
        <w:trPr>
          <w:trHeight w:val="165"/>
        </w:trPr>
        <w:tc>
          <w:tcPr>
            <w:tcW w:w="14560" w:type="dxa"/>
            <w:gridSpan w:val="4"/>
            <w:vAlign w:val="center"/>
          </w:tcPr>
          <w:p w14:paraId="56046D6C" w14:textId="72D5FC06" w:rsidR="00E33DDA" w:rsidRPr="007972EA" w:rsidRDefault="00E33DD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F01D06" w14:paraId="5F3ECBAC" w14:textId="77777777" w:rsidTr="00452D41">
        <w:trPr>
          <w:trHeight w:val="660"/>
        </w:trPr>
        <w:tc>
          <w:tcPr>
            <w:tcW w:w="843" w:type="dxa"/>
          </w:tcPr>
          <w:p w14:paraId="6865733A" w14:textId="77777777" w:rsidR="007972EA" w:rsidRPr="007972EA" w:rsidRDefault="007972EA" w:rsidP="007972EA">
            <w:pPr>
              <w:numPr>
                <w:ilvl w:val="0"/>
                <w:numId w:val="1"/>
              </w:numPr>
              <w:contextualSpacing/>
              <w:jc w:val="both"/>
              <w:rPr>
                <w:rFonts w:ascii="GHEA Grapalat" w:hAnsi="GHEA Grapalat"/>
                <w:sz w:val="24"/>
                <w:szCs w:val="24"/>
                <w:lang w:val="ru-RU"/>
              </w:rPr>
            </w:pPr>
          </w:p>
        </w:tc>
        <w:tc>
          <w:tcPr>
            <w:tcW w:w="7878" w:type="dxa"/>
          </w:tcPr>
          <w:p w14:paraId="17025AFB"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Ձեռնարկել միջոցներ՝ տվյալների պաշտպանության վերաբերյալ օրենսդրական շրջանակի հետագա կատարելագործման նպատակով, այդ թվում՝ իրավապահ ոլորտում, և ամրապնդել Հայաստանի անձնական տվյալների պաշտպանության գործակալության անկախությունը և տվյալների պաշտպանության հետ կապված հարցերը վերահսկելու և լուծելու դրա կարողությունները:</w:t>
            </w:r>
          </w:p>
        </w:tc>
        <w:tc>
          <w:tcPr>
            <w:tcW w:w="2354" w:type="dxa"/>
            <w:vAlign w:val="center"/>
          </w:tcPr>
          <w:p w14:paraId="506910AC"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2027 թվական</w:t>
            </w:r>
          </w:p>
        </w:tc>
        <w:tc>
          <w:tcPr>
            <w:tcW w:w="3485" w:type="dxa"/>
            <w:vAlign w:val="center"/>
          </w:tcPr>
          <w:p w14:paraId="69B166E1"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55C4C21E" w14:textId="77777777" w:rsidR="007972EA" w:rsidRPr="007972EA" w:rsidRDefault="007972EA" w:rsidP="00452D41">
            <w:pPr>
              <w:jc w:val="center"/>
              <w:rPr>
                <w:rFonts w:ascii="GHEA Grapalat" w:hAnsi="GHEA Grapalat"/>
                <w:sz w:val="24"/>
                <w:szCs w:val="24"/>
                <w:lang w:val="hy-AM"/>
              </w:rPr>
            </w:pPr>
          </w:p>
          <w:p w14:paraId="7857E6D1"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Անձնական տվյալների պաշտպանության գործակալություն</w:t>
            </w:r>
          </w:p>
        </w:tc>
      </w:tr>
      <w:tr w:rsidR="007972EA" w:rsidRPr="00F01D06" w14:paraId="5534D76A" w14:textId="77777777" w:rsidTr="00452D41">
        <w:trPr>
          <w:trHeight w:val="330"/>
        </w:trPr>
        <w:tc>
          <w:tcPr>
            <w:tcW w:w="843" w:type="dxa"/>
          </w:tcPr>
          <w:p w14:paraId="0718671F"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4E38B760"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ապահովել անձնական տվյալների պաշտպանության բարձր մակարդակ և ընդունել ԵՄ և Եվրոպայի խորհրդի չափանիշներին համապատասխան օրենսդրություն։ Երաշխավորել անձնական տվյալների պաշտպանության իրավունքը հարգելու սկզբունքն ինչպես պետական, այնպես էլ մասնավոր հատվածներում:</w:t>
            </w:r>
          </w:p>
        </w:tc>
        <w:tc>
          <w:tcPr>
            <w:tcW w:w="2354" w:type="dxa"/>
            <w:vAlign w:val="center"/>
          </w:tcPr>
          <w:p w14:paraId="70DFB0AB"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5089854F"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46CC04D6" w14:textId="77777777" w:rsidR="007972EA" w:rsidRPr="007972EA" w:rsidRDefault="007972EA" w:rsidP="00452D41">
            <w:pPr>
              <w:jc w:val="center"/>
              <w:rPr>
                <w:rFonts w:ascii="GHEA Grapalat" w:hAnsi="GHEA Grapalat"/>
                <w:sz w:val="24"/>
                <w:szCs w:val="24"/>
                <w:lang w:val="hy-AM"/>
              </w:rPr>
            </w:pPr>
          </w:p>
          <w:p w14:paraId="1BE2571E"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Անձնական տվյալների պաշտպանության գործակալություն</w:t>
            </w:r>
          </w:p>
        </w:tc>
      </w:tr>
      <w:tr w:rsidR="007972EA" w:rsidRPr="007972EA" w14:paraId="0B651A9A" w14:textId="77777777" w:rsidTr="00452D41">
        <w:trPr>
          <w:trHeight w:val="330"/>
        </w:trPr>
        <w:tc>
          <w:tcPr>
            <w:tcW w:w="14560" w:type="dxa"/>
            <w:gridSpan w:val="4"/>
            <w:vAlign w:val="center"/>
          </w:tcPr>
          <w:p w14:paraId="6738DC37"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Միջնաժամկետ առաջնահերթություններ</w:t>
            </w:r>
          </w:p>
        </w:tc>
      </w:tr>
      <w:tr w:rsidR="007972EA" w:rsidRPr="00F01D06" w14:paraId="2304A455" w14:textId="77777777" w:rsidTr="00452D41">
        <w:trPr>
          <w:trHeight w:val="165"/>
        </w:trPr>
        <w:tc>
          <w:tcPr>
            <w:tcW w:w="843" w:type="dxa"/>
          </w:tcPr>
          <w:p w14:paraId="40BA39A5" w14:textId="77777777" w:rsidR="007972EA" w:rsidRPr="007972EA" w:rsidRDefault="007972EA" w:rsidP="007972EA">
            <w:pPr>
              <w:numPr>
                <w:ilvl w:val="0"/>
                <w:numId w:val="1"/>
              </w:numPr>
              <w:contextualSpacing/>
              <w:jc w:val="both"/>
              <w:rPr>
                <w:rFonts w:ascii="GHEA Grapalat" w:hAnsi="GHEA Grapalat"/>
                <w:sz w:val="24"/>
                <w:szCs w:val="24"/>
                <w:lang w:val="ru-RU"/>
              </w:rPr>
            </w:pPr>
          </w:p>
        </w:tc>
        <w:tc>
          <w:tcPr>
            <w:tcW w:w="7878" w:type="dxa"/>
          </w:tcPr>
          <w:p w14:paraId="43425585"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ամրապնդել Անձնական տվյալների պաշտպանության գործակալության կարողությունները և ապահովել անձնական տվյալների պաշտպանության բարձր մակարդակ:</w:t>
            </w:r>
          </w:p>
        </w:tc>
        <w:tc>
          <w:tcPr>
            <w:tcW w:w="2354" w:type="dxa"/>
            <w:vAlign w:val="center"/>
          </w:tcPr>
          <w:p w14:paraId="62D79C57"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0495AB52"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7CDA29F9" w14:textId="77777777" w:rsidR="007972EA" w:rsidRPr="007972EA" w:rsidRDefault="007972EA" w:rsidP="00452D41">
            <w:pPr>
              <w:jc w:val="center"/>
              <w:rPr>
                <w:rFonts w:ascii="GHEA Grapalat" w:hAnsi="GHEA Grapalat"/>
                <w:sz w:val="24"/>
                <w:szCs w:val="24"/>
                <w:lang w:val="hy-AM"/>
              </w:rPr>
            </w:pPr>
          </w:p>
          <w:p w14:paraId="588936B5"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Անձնական տվյալների պաշտպանության գործակալություն</w:t>
            </w:r>
          </w:p>
        </w:tc>
      </w:tr>
      <w:tr w:rsidR="007972EA" w:rsidRPr="007972EA" w14:paraId="05851CA2" w14:textId="77777777" w:rsidTr="00452D41">
        <w:trPr>
          <w:trHeight w:val="165"/>
        </w:trPr>
        <w:tc>
          <w:tcPr>
            <w:tcW w:w="14560" w:type="dxa"/>
            <w:gridSpan w:val="4"/>
            <w:shd w:val="clear" w:color="auto" w:fill="F4B083" w:themeFill="accent2" w:themeFillTint="99"/>
            <w:vAlign w:val="center"/>
          </w:tcPr>
          <w:p w14:paraId="04211DE9" w14:textId="77777777" w:rsidR="007972EA" w:rsidRPr="007972EA" w:rsidRDefault="007972EA" w:rsidP="00452D41">
            <w:pPr>
              <w:ind w:left="360"/>
              <w:jc w:val="center"/>
              <w:rPr>
                <w:rFonts w:ascii="GHEA Grapalat" w:hAnsi="GHEA Grapalat"/>
                <w:i/>
                <w:iCs/>
                <w:sz w:val="24"/>
                <w:szCs w:val="24"/>
                <w:lang w:val="hy-AM"/>
              </w:rPr>
            </w:pPr>
            <w:r w:rsidRPr="007972EA">
              <w:rPr>
                <w:rFonts w:ascii="GHEA Grapalat" w:hAnsi="GHEA Grapalat"/>
                <w:i/>
                <w:iCs/>
                <w:sz w:val="24"/>
                <w:szCs w:val="24"/>
                <w:lang w:val="hy-AM"/>
              </w:rPr>
              <w:t>2.2.5</w:t>
            </w:r>
            <w:r w:rsidRPr="007972EA">
              <w:rPr>
                <w:rFonts w:ascii="Cambria Math" w:hAnsi="Cambria Math" w:cs="Cambria Math"/>
                <w:i/>
                <w:iCs/>
                <w:sz w:val="24"/>
                <w:szCs w:val="24"/>
                <w:lang w:val="hy-AM"/>
              </w:rPr>
              <w:t>․</w:t>
            </w:r>
            <w:r w:rsidRPr="007972EA">
              <w:rPr>
                <w:rFonts w:ascii="GHEA Grapalat" w:hAnsi="GHEA Grapalat"/>
                <w:i/>
                <w:iCs/>
                <w:sz w:val="24"/>
                <w:szCs w:val="24"/>
                <w:lang w:val="hy-AM"/>
              </w:rPr>
              <w:t xml:space="preserve"> Արգելված թմրամիջոցների դեմ պայքար</w:t>
            </w:r>
          </w:p>
        </w:tc>
      </w:tr>
      <w:tr w:rsidR="007972EA" w:rsidRPr="007972EA" w14:paraId="75E13E85" w14:textId="77777777" w:rsidTr="00452D41">
        <w:trPr>
          <w:trHeight w:val="165"/>
        </w:trPr>
        <w:tc>
          <w:tcPr>
            <w:tcW w:w="14560" w:type="dxa"/>
            <w:gridSpan w:val="4"/>
            <w:vAlign w:val="center"/>
          </w:tcPr>
          <w:p w14:paraId="5EA8340A"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7972EA" w14:paraId="5EE22274" w14:textId="77777777" w:rsidTr="00452D41">
        <w:trPr>
          <w:trHeight w:val="165"/>
        </w:trPr>
        <w:tc>
          <w:tcPr>
            <w:tcW w:w="843" w:type="dxa"/>
          </w:tcPr>
          <w:p w14:paraId="5D285AD1" w14:textId="77777777" w:rsidR="007972EA" w:rsidRPr="007972EA" w:rsidRDefault="007972EA" w:rsidP="007972EA">
            <w:pPr>
              <w:numPr>
                <w:ilvl w:val="0"/>
                <w:numId w:val="1"/>
              </w:numPr>
              <w:contextualSpacing/>
              <w:jc w:val="both"/>
              <w:rPr>
                <w:rFonts w:ascii="GHEA Grapalat" w:hAnsi="GHEA Grapalat"/>
                <w:sz w:val="24"/>
                <w:szCs w:val="24"/>
                <w:lang w:val="hy-AM"/>
              </w:rPr>
            </w:pPr>
          </w:p>
        </w:tc>
        <w:tc>
          <w:tcPr>
            <w:tcW w:w="7878" w:type="dxa"/>
          </w:tcPr>
          <w:p w14:paraId="7030F058"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բարելավել համակարգումն ու փոխադարձ իրավական օգնությունը թմրամիջոցների ապօրինի շրջանառության գործերի քննության գործընթացում։</w:t>
            </w:r>
          </w:p>
        </w:tc>
        <w:tc>
          <w:tcPr>
            <w:tcW w:w="2354" w:type="dxa"/>
            <w:vAlign w:val="center"/>
          </w:tcPr>
          <w:p w14:paraId="208159CE"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1D5EF4CD"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Իրավական փոխօգնության վարչություն</w:t>
            </w:r>
          </w:p>
        </w:tc>
      </w:tr>
      <w:tr w:rsidR="007972EA" w:rsidRPr="007972EA" w14:paraId="4656A4A9" w14:textId="77777777" w:rsidTr="00452D41">
        <w:trPr>
          <w:trHeight w:val="165"/>
        </w:trPr>
        <w:tc>
          <w:tcPr>
            <w:tcW w:w="14560" w:type="dxa"/>
            <w:gridSpan w:val="4"/>
            <w:shd w:val="clear" w:color="auto" w:fill="F4B083" w:themeFill="accent2" w:themeFillTint="99"/>
            <w:vAlign w:val="center"/>
          </w:tcPr>
          <w:p w14:paraId="2450AF02" w14:textId="77777777" w:rsidR="007972EA" w:rsidRPr="007972EA" w:rsidRDefault="007972EA" w:rsidP="00452D41">
            <w:pPr>
              <w:ind w:left="360"/>
              <w:jc w:val="center"/>
              <w:rPr>
                <w:rFonts w:ascii="GHEA Grapalat" w:hAnsi="GHEA Grapalat"/>
                <w:i/>
                <w:iCs/>
                <w:sz w:val="24"/>
                <w:szCs w:val="24"/>
                <w:lang w:val="hy-AM"/>
              </w:rPr>
            </w:pPr>
            <w:r w:rsidRPr="007972EA">
              <w:rPr>
                <w:rFonts w:ascii="GHEA Grapalat" w:hAnsi="GHEA Grapalat"/>
                <w:i/>
                <w:iCs/>
                <w:sz w:val="24"/>
                <w:szCs w:val="24"/>
                <w:lang w:val="hy-AM"/>
              </w:rPr>
              <w:t>2.2.6</w:t>
            </w:r>
            <w:r w:rsidRPr="007972EA">
              <w:rPr>
                <w:rFonts w:ascii="Cambria Math" w:hAnsi="Cambria Math" w:cs="Cambria Math"/>
                <w:i/>
                <w:iCs/>
                <w:sz w:val="24"/>
                <w:szCs w:val="24"/>
                <w:lang w:val="hy-AM"/>
              </w:rPr>
              <w:t>․</w:t>
            </w:r>
            <w:r w:rsidRPr="007972EA">
              <w:rPr>
                <w:rFonts w:ascii="GHEA Grapalat" w:hAnsi="GHEA Grapalat"/>
                <w:i/>
                <w:iCs/>
                <w:sz w:val="24"/>
                <w:szCs w:val="24"/>
                <w:lang w:val="hy-AM"/>
              </w:rPr>
              <w:t xml:space="preserve"> Փողերի լվացման դեմ պայքար և ահաբեկչության ֆինանսավորման դեմ պայքար</w:t>
            </w:r>
          </w:p>
        </w:tc>
      </w:tr>
      <w:tr w:rsidR="007972EA" w:rsidRPr="007972EA" w14:paraId="305DE53A" w14:textId="77777777" w:rsidTr="00452D41">
        <w:trPr>
          <w:trHeight w:val="165"/>
        </w:trPr>
        <w:tc>
          <w:tcPr>
            <w:tcW w:w="14560" w:type="dxa"/>
            <w:gridSpan w:val="4"/>
            <w:vAlign w:val="center"/>
          </w:tcPr>
          <w:p w14:paraId="04F7C56F"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7972EA" w14:paraId="15BBAFC2" w14:textId="77777777" w:rsidTr="00452D41">
        <w:trPr>
          <w:trHeight w:val="165"/>
        </w:trPr>
        <w:tc>
          <w:tcPr>
            <w:tcW w:w="843" w:type="dxa"/>
          </w:tcPr>
          <w:p w14:paraId="1D2FBADD" w14:textId="77777777" w:rsidR="007972EA" w:rsidRPr="007972EA" w:rsidRDefault="007972EA" w:rsidP="007972EA">
            <w:pPr>
              <w:numPr>
                <w:ilvl w:val="0"/>
                <w:numId w:val="1"/>
              </w:numPr>
              <w:contextualSpacing/>
              <w:jc w:val="both"/>
              <w:rPr>
                <w:rFonts w:ascii="GHEA Grapalat" w:hAnsi="GHEA Grapalat"/>
                <w:sz w:val="24"/>
                <w:szCs w:val="24"/>
              </w:rPr>
            </w:pPr>
          </w:p>
        </w:tc>
        <w:tc>
          <w:tcPr>
            <w:tcW w:w="7878" w:type="dxa"/>
          </w:tcPr>
          <w:p w14:paraId="4B206D20"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համագործակցությունը Եվրոպայի խորհրդի, ՄԱՆԻՎԱԼ-ի և ԵՄ անդամ պետությունների համապատասխան մարմինների հետ՝ փողերի լվացման և ահաբեկչության ֆինանսավորման դեմ պայքարի հարցերում։</w:t>
            </w:r>
          </w:p>
        </w:tc>
        <w:tc>
          <w:tcPr>
            <w:tcW w:w="2354" w:type="dxa"/>
            <w:vAlign w:val="center"/>
          </w:tcPr>
          <w:p w14:paraId="36075159"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51C88C50"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Բոլոր ստորաբաժանումները՝ ըստ վերաբերելիության</w:t>
            </w:r>
          </w:p>
        </w:tc>
      </w:tr>
      <w:tr w:rsidR="007972EA" w:rsidRPr="007972EA" w14:paraId="5D2C5653" w14:textId="77777777" w:rsidTr="00452D41">
        <w:trPr>
          <w:trHeight w:val="165"/>
        </w:trPr>
        <w:tc>
          <w:tcPr>
            <w:tcW w:w="843" w:type="dxa"/>
          </w:tcPr>
          <w:p w14:paraId="5C525F05" w14:textId="77777777" w:rsidR="007972EA" w:rsidRPr="007972EA" w:rsidRDefault="007972EA" w:rsidP="007972EA">
            <w:pPr>
              <w:numPr>
                <w:ilvl w:val="0"/>
                <w:numId w:val="1"/>
              </w:numPr>
              <w:contextualSpacing/>
              <w:jc w:val="both"/>
              <w:rPr>
                <w:rFonts w:ascii="GHEA Grapalat" w:hAnsi="GHEA Grapalat"/>
                <w:sz w:val="24"/>
                <w:szCs w:val="24"/>
              </w:rPr>
            </w:pPr>
          </w:p>
        </w:tc>
        <w:tc>
          <w:tcPr>
            <w:tcW w:w="7878" w:type="dxa"/>
          </w:tcPr>
          <w:p w14:paraId="5F142FD6"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ամրապնդել բռնագրավման, ակտիվների վերականգնման և ակտիվների կառավարման ոլորտում գործառնական համագործակցությունը՝ Հայաստանի իշխանությունների և Ակտիվների վերականգնման ԵՄ գրասենյակների միջև արդյունավետ հաղորդակցության և լավագույն գործելակերպի փոխանակման միջոցով։</w:t>
            </w:r>
          </w:p>
        </w:tc>
        <w:tc>
          <w:tcPr>
            <w:tcW w:w="2354" w:type="dxa"/>
            <w:vAlign w:val="center"/>
          </w:tcPr>
          <w:p w14:paraId="247C0999"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20</w:t>
            </w:r>
            <w:r w:rsidRPr="007972EA">
              <w:rPr>
                <w:rFonts w:ascii="GHEA Grapalat" w:hAnsi="GHEA Grapalat"/>
                <w:sz w:val="24"/>
                <w:szCs w:val="24"/>
                <w:lang w:val="en-US"/>
              </w:rPr>
              <w:t>29</w:t>
            </w:r>
            <w:r w:rsidRPr="007972EA">
              <w:rPr>
                <w:rFonts w:ascii="GHEA Grapalat" w:hAnsi="GHEA Grapalat"/>
                <w:sz w:val="24"/>
                <w:szCs w:val="24"/>
                <w:lang w:val="hy-AM"/>
              </w:rPr>
              <w:t xml:space="preserve"> թվական</w:t>
            </w:r>
          </w:p>
        </w:tc>
        <w:tc>
          <w:tcPr>
            <w:tcW w:w="3485" w:type="dxa"/>
            <w:vAlign w:val="center"/>
          </w:tcPr>
          <w:p w14:paraId="4588F8CA"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Հակակոռուպցիոն քաղաքականության մշակման և մոնիթորինգի վարչություն</w:t>
            </w:r>
          </w:p>
          <w:p w14:paraId="32BD3ECA" w14:textId="77777777" w:rsidR="007972EA" w:rsidRPr="007972EA" w:rsidRDefault="007972EA" w:rsidP="00452D41">
            <w:pPr>
              <w:jc w:val="center"/>
              <w:rPr>
                <w:rFonts w:ascii="GHEA Grapalat" w:hAnsi="GHEA Grapalat"/>
                <w:sz w:val="24"/>
                <w:szCs w:val="24"/>
                <w:lang w:val="hy-AM"/>
              </w:rPr>
            </w:pPr>
          </w:p>
          <w:p w14:paraId="211EAA52"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p w14:paraId="3078C496" w14:textId="77777777" w:rsidR="007972EA" w:rsidRPr="007972EA" w:rsidRDefault="007972EA" w:rsidP="00452D41">
            <w:pPr>
              <w:jc w:val="center"/>
              <w:rPr>
                <w:rFonts w:ascii="GHEA Grapalat" w:hAnsi="GHEA Grapalat"/>
                <w:sz w:val="24"/>
                <w:szCs w:val="24"/>
                <w:lang w:val="hy-AM"/>
              </w:rPr>
            </w:pPr>
          </w:p>
          <w:p w14:paraId="241A7C32"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271B4B81" w14:textId="77777777" w:rsidR="007972EA" w:rsidRPr="007972EA" w:rsidRDefault="007972EA" w:rsidP="00452D41">
            <w:pPr>
              <w:jc w:val="center"/>
              <w:rPr>
                <w:rFonts w:ascii="GHEA Grapalat" w:hAnsi="GHEA Grapalat"/>
                <w:sz w:val="24"/>
                <w:szCs w:val="24"/>
                <w:lang w:val="hy-AM"/>
              </w:rPr>
            </w:pPr>
          </w:p>
        </w:tc>
      </w:tr>
      <w:tr w:rsidR="007972EA" w:rsidRPr="007972EA" w14:paraId="422F8551" w14:textId="77777777" w:rsidTr="00452D41">
        <w:trPr>
          <w:trHeight w:val="165"/>
        </w:trPr>
        <w:tc>
          <w:tcPr>
            <w:tcW w:w="14560" w:type="dxa"/>
            <w:gridSpan w:val="4"/>
            <w:shd w:val="clear" w:color="auto" w:fill="C45911" w:themeFill="accent2" w:themeFillShade="BF"/>
            <w:vAlign w:val="center"/>
          </w:tcPr>
          <w:p w14:paraId="08F88C6A" w14:textId="77777777" w:rsidR="007972EA" w:rsidRPr="007972EA" w:rsidRDefault="007972EA" w:rsidP="00452D41">
            <w:pPr>
              <w:ind w:left="360"/>
              <w:jc w:val="center"/>
              <w:rPr>
                <w:rFonts w:ascii="GHEA Grapalat" w:hAnsi="GHEA Grapalat"/>
                <w:b/>
                <w:bCs/>
                <w:sz w:val="24"/>
                <w:szCs w:val="24"/>
                <w:lang w:val="hy-AM"/>
              </w:rPr>
            </w:pPr>
            <w:r w:rsidRPr="007972EA">
              <w:rPr>
                <w:rFonts w:ascii="GHEA Grapalat" w:hAnsi="GHEA Grapalat"/>
                <w:b/>
                <w:bCs/>
                <w:sz w:val="24"/>
                <w:szCs w:val="24"/>
                <w:lang w:val="hy-AM"/>
              </w:rPr>
              <w:lastRenderedPageBreak/>
              <w:t>2.3. Արտաքին և անվտանգության քաղաքականություն</w:t>
            </w:r>
          </w:p>
        </w:tc>
      </w:tr>
      <w:tr w:rsidR="007972EA" w:rsidRPr="007972EA" w14:paraId="6E36CF86" w14:textId="77777777" w:rsidTr="00452D41">
        <w:trPr>
          <w:trHeight w:val="165"/>
        </w:trPr>
        <w:tc>
          <w:tcPr>
            <w:tcW w:w="14560" w:type="dxa"/>
            <w:gridSpan w:val="4"/>
            <w:shd w:val="clear" w:color="auto" w:fill="F4B083" w:themeFill="accent2" w:themeFillTint="99"/>
            <w:vAlign w:val="center"/>
          </w:tcPr>
          <w:p w14:paraId="341A40DB" w14:textId="77777777" w:rsidR="007972EA" w:rsidRPr="007972EA" w:rsidRDefault="007972EA" w:rsidP="00452D41">
            <w:pPr>
              <w:ind w:left="360"/>
              <w:jc w:val="center"/>
              <w:rPr>
                <w:rFonts w:ascii="GHEA Grapalat" w:hAnsi="GHEA Grapalat"/>
                <w:i/>
                <w:iCs/>
                <w:sz w:val="24"/>
                <w:szCs w:val="24"/>
              </w:rPr>
            </w:pPr>
            <w:r w:rsidRPr="007972EA">
              <w:rPr>
                <w:rFonts w:ascii="GHEA Grapalat" w:hAnsi="GHEA Grapalat"/>
                <w:i/>
                <w:iCs/>
                <w:sz w:val="24"/>
                <w:szCs w:val="24"/>
              </w:rPr>
              <w:t xml:space="preserve">2.3.2. </w:t>
            </w:r>
            <w:r w:rsidRPr="007972EA">
              <w:rPr>
                <w:rFonts w:ascii="GHEA Grapalat" w:hAnsi="GHEA Grapalat"/>
                <w:i/>
                <w:iCs/>
                <w:sz w:val="24"/>
                <w:szCs w:val="24"/>
                <w:lang w:val="ru-RU"/>
              </w:rPr>
              <w:t>Միջազգային</w:t>
            </w:r>
            <w:r w:rsidRPr="007972EA">
              <w:rPr>
                <w:rFonts w:ascii="GHEA Grapalat" w:hAnsi="GHEA Grapalat"/>
                <w:i/>
                <w:iCs/>
                <w:sz w:val="24"/>
                <w:szCs w:val="24"/>
              </w:rPr>
              <w:t xml:space="preserve"> </w:t>
            </w:r>
            <w:r w:rsidRPr="007972EA">
              <w:rPr>
                <w:rFonts w:ascii="GHEA Grapalat" w:hAnsi="GHEA Grapalat"/>
                <w:i/>
                <w:iCs/>
                <w:sz w:val="24"/>
                <w:szCs w:val="24"/>
                <w:lang w:val="ru-RU"/>
              </w:rPr>
              <w:t>և</w:t>
            </w:r>
            <w:r w:rsidRPr="007972EA">
              <w:rPr>
                <w:rFonts w:ascii="GHEA Grapalat" w:hAnsi="GHEA Grapalat"/>
                <w:i/>
                <w:iCs/>
                <w:sz w:val="24"/>
                <w:szCs w:val="24"/>
              </w:rPr>
              <w:t xml:space="preserve"> </w:t>
            </w:r>
            <w:r w:rsidRPr="007972EA">
              <w:rPr>
                <w:rFonts w:ascii="GHEA Grapalat" w:hAnsi="GHEA Grapalat"/>
                <w:i/>
                <w:iCs/>
                <w:sz w:val="24"/>
                <w:szCs w:val="24"/>
                <w:lang w:val="ru-RU"/>
              </w:rPr>
              <w:t>տարածաշրջանային</w:t>
            </w:r>
            <w:r w:rsidRPr="007972EA">
              <w:rPr>
                <w:rFonts w:ascii="GHEA Grapalat" w:hAnsi="GHEA Grapalat"/>
                <w:i/>
                <w:iCs/>
                <w:sz w:val="24"/>
                <w:szCs w:val="24"/>
              </w:rPr>
              <w:t xml:space="preserve"> </w:t>
            </w:r>
            <w:r w:rsidRPr="007972EA">
              <w:rPr>
                <w:rFonts w:ascii="GHEA Grapalat" w:hAnsi="GHEA Grapalat"/>
                <w:i/>
                <w:iCs/>
                <w:sz w:val="24"/>
                <w:szCs w:val="24"/>
                <w:lang w:val="ru-RU"/>
              </w:rPr>
              <w:t>համագործակցություն</w:t>
            </w:r>
            <w:r w:rsidRPr="007972EA">
              <w:rPr>
                <w:rFonts w:ascii="GHEA Grapalat" w:hAnsi="GHEA Grapalat"/>
                <w:i/>
                <w:iCs/>
                <w:sz w:val="24"/>
                <w:szCs w:val="24"/>
              </w:rPr>
              <w:t xml:space="preserve"> </w:t>
            </w:r>
            <w:r w:rsidRPr="007972EA">
              <w:rPr>
                <w:rFonts w:ascii="GHEA Grapalat" w:hAnsi="GHEA Grapalat"/>
                <w:i/>
                <w:iCs/>
                <w:sz w:val="24"/>
                <w:szCs w:val="24"/>
                <w:lang w:val="ru-RU"/>
              </w:rPr>
              <w:t>և</w:t>
            </w:r>
            <w:r w:rsidRPr="007972EA">
              <w:rPr>
                <w:rFonts w:ascii="GHEA Grapalat" w:hAnsi="GHEA Grapalat"/>
                <w:i/>
                <w:iCs/>
                <w:sz w:val="24"/>
                <w:szCs w:val="24"/>
              </w:rPr>
              <w:t xml:space="preserve"> </w:t>
            </w:r>
            <w:r w:rsidRPr="007972EA">
              <w:rPr>
                <w:rFonts w:ascii="GHEA Grapalat" w:hAnsi="GHEA Grapalat"/>
                <w:i/>
                <w:iCs/>
                <w:sz w:val="24"/>
                <w:szCs w:val="24"/>
                <w:lang w:val="ru-RU"/>
              </w:rPr>
              <w:t>ԸԱՊՔ</w:t>
            </w:r>
            <w:r w:rsidRPr="007972EA">
              <w:rPr>
                <w:rFonts w:ascii="GHEA Grapalat" w:hAnsi="GHEA Grapalat"/>
                <w:i/>
                <w:iCs/>
                <w:sz w:val="24"/>
                <w:szCs w:val="24"/>
              </w:rPr>
              <w:t xml:space="preserve"> </w:t>
            </w:r>
            <w:r w:rsidRPr="007972EA">
              <w:rPr>
                <w:rFonts w:ascii="GHEA Grapalat" w:hAnsi="GHEA Grapalat"/>
                <w:i/>
                <w:iCs/>
                <w:sz w:val="24"/>
                <w:szCs w:val="24"/>
                <w:lang w:val="ru-RU"/>
              </w:rPr>
              <w:t>համագործակցությու</w:t>
            </w:r>
            <w:r w:rsidRPr="007972EA">
              <w:rPr>
                <w:rFonts w:ascii="GHEA Grapalat" w:hAnsi="GHEA Grapalat"/>
                <w:i/>
                <w:iCs/>
                <w:sz w:val="24"/>
                <w:szCs w:val="24"/>
                <w:lang w:val="hy-AM"/>
              </w:rPr>
              <w:t>ն</w:t>
            </w:r>
          </w:p>
        </w:tc>
      </w:tr>
      <w:tr w:rsidR="007972EA" w:rsidRPr="007972EA" w14:paraId="4B85CEC8" w14:textId="77777777" w:rsidTr="00452D41">
        <w:trPr>
          <w:trHeight w:val="165"/>
        </w:trPr>
        <w:tc>
          <w:tcPr>
            <w:tcW w:w="14560" w:type="dxa"/>
            <w:gridSpan w:val="4"/>
            <w:vAlign w:val="center"/>
          </w:tcPr>
          <w:p w14:paraId="47C429D6"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7972EA" w14:paraId="5E1B3544" w14:textId="77777777" w:rsidTr="00452D41">
        <w:trPr>
          <w:trHeight w:val="660"/>
        </w:trPr>
        <w:tc>
          <w:tcPr>
            <w:tcW w:w="843" w:type="dxa"/>
          </w:tcPr>
          <w:p w14:paraId="675AB8E7" w14:textId="77777777" w:rsidR="007972EA" w:rsidRPr="007972EA" w:rsidRDefault="007972EA" w:rsidP="007972EA">
            <w:pPr>
              <w:numPr>
                <w:ilvl w:val="0"/>
                <w:numId w:val="1"/>
              </w:numPr>
              <w:contextualSpacing/>
              <w:jc w:val="both"/>
              <w:rPr>
                <w:rFonts w:ascii="GHEA Grapalat" w:hAnsi="GHEA Grapalat"/>
                <w:sz w:val="24"/>
                <w:szCs w:val="24"/>
                <w:lang w:val="ru-RU"/>
              </w:rPr>
            </w:pPr>
          </w:p>
        </w:tc>
        <w:tc>
          <w:tcPr>
            <w:tcW w:w="7878" w:type="dxa"/>
          </w:tcPr>
          <w:p w14:paraId="1E74657D"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Խորացնել համագործակցությունը հիբրիդային սպառնալիքների դեմ պայքարում, ներառյալ՝ արտաքին տեղեկատվության մանիպուլյացիայի և միջամտության (ԱՏՄՄ) դեմ պայքարը, քննարկել կարողությունների զարգացման և հիբրիդային սպառնալիքներին արդյունավետ հակազդման համապարփակ շրջանակի մշակման հարցում Հայաստանին աջակցություն տրամադրելու հարցը, ներառյալ՝ ազգային անվտանգության և հիբրիդային սպառնալիքների նկատմամբ դիմակայունության հետ կապված հատուկ ինստիտուտների ստեղծմանը և ամրապնդմանն աջակցելու հնարավորության քննարկումը։</w:t>
            </w:r>
          </w:p>
        </w:tc>
        <w:tc>
          <w:tcPr>
            <w:tcW w:w="2354" w:type="dxa"/>
            <w:vAlign w:val="center"/>
          </w:tcPr>
          <w:p w14:paraId="726631A4"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558B5A7C"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tc>
      </w:tr>
      <w:tr w:rsidR="007972EA" w:rsidRPr="00F01D06" w14:paraId="7E77A81C" w14:textId="77777777" w:rsidTr="00452D41">
        <w:trPr>
          <w:trHeight w:val="165"/>
        </w:trPr>
        <w:tc>
          <w:tcPr>
            <w:tcW w:w="843" w:type="dxa"/>
          </w:tcPr>
          <w:p w14:paraId="54D752F6" w14:textId="77777777" w:rsidR="007972EA" w:rsidRPr="007972EA" w:rsidRDefault="007972EA" w:rsidP="007972EA">
            <w:pPr>
              <w:numPr>
                <w:ilvl w:val="0"/>
                <w:numId w:val="1"/>
              </w:numPr>
              <w:contextualSpacing/>
              <w:jc w:val="both"/>
              <w:rPr>
                <w:rFonts w:ascii="GHEA Grapalat" w:hAnsi="GHEA Grapalat"/>
                <w:sz w:val="24"/>
                <w:szCs w:val="24"/>
                <w:lang w:val="ru-RU"/>
              </w:rPr>
            </w:pPr>
          </w:p>
        </w:tc>
        <w:tc>
          <w:tcPr>
            <w:tcW w:w="7878" w:type="dxa"/>
          </w:tcPr>
          <w:p w14:paraId="6396785D"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Ամրապնդել համագործակցությունը ռազմավարական հաղորդակցության կարողությունների զարգացման ուղղությամբ, այդ թվում՝ ամրապնդելով պետության և հասարակության դիմակայունությունն ապատեղեկատվության նկատմամբ, աջակցելով լրատվամիջոցների ազատության և բազմակարծության ամրապնդմանը, ընդլայնել և դիվերսիֆիկացնել գործնական համագործակցության շրջանակները՝ ներառելով քաղաքացիական հասարակությունը, պետական դերակատարներին և այս ոլորտում գործող հաստատությունները։</w:t>
            </w:r>
          </w:p>
        </w:tc>
        <w:tc>
          <w:tcPr>
            <w:tcW w:w="2354" w:type="dxa"/>
            <w:vAlign w:val="center"/>
          </w:tcPr>
          <w:p w14:paraId="1E946F30"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3F7A5164"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p w14:paraId="529131B5" w14:textId="77777777" w:rsidR="007972EA" w:rsidRPr="007972EA" w:rsidRDefault="007972EA" w:rsidP="00452D41">
            <w:pPr>
              <w:jc w:val="center"/>
              <w:rPr>
                <w:rFonts w:ascii="GHEA Grapalat" w:hAnsi="GHEA Grapalat"/>
                <w:sz w:val="24"/>
                <w:szCs w:val="24"/>
                <w:lang w:val="hy-AM"/>
              </w:rPr>
            </w:pPr>
          </w:p>
          <w:p w14:paraId="272CD86D"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«Օրենսդրության զարգացման կենտրոն» հիմնադրամ</w:t>
            </w:r>
          </w:p>
        </w:tc>
      </w:tr>
      <w:tr w:rsidR="007972EA" w:rsidRPr="00F01D06" w14:paraId="756E6CE6" w14:textId="77777777" w:rsidTr="00452D41">
        <w:trPr>
          <w:trHeight w:val="165"/>
        </w:trPr>
        <w:tc>
          <w:tcPr>
            <w:tcW w:w="14560" w:type="dxa"/>
            <w:gridSpan w:val="4"/>
            <w:shd w:val="clear" w:color="auto" w:fill="F4B083" w:themeFill="accent2" w:themeFillTint="99"/>
            <w:vAlign w:val="center"/>
          </w:tcPr>
          <w:p w14:paraId="4F792432" w14:textId="77777777" w:rsidR="007972EA" w:rsidRPr="007972EA" w:rsidRDefault="007972EA" w:rsidP="00452D41">
            <w:pPr>
              <w:ind w:left="360"/>
              <w:jc w:val="center"/>
              <w:rPr>
                <w:rFonts w:ascii="GHEA Grapalat" w:hAnsi="GHEA Grapalat"/>
                <w:i/>
                <w:iCs/>
                <w:sz w:val="24"/>
                <w:szCs w:val="24"/>
                <w:lang w:val="hy-AM"/>
              </w:rPr>
            </w:pPr>
            <w:r w:rsidRPr="007972EA">
              <w:rPr>
                <w:rFonts w:ascii="GHEA Grapalat" w:hAnsi="GHEA Grapalat"/>
                <w:i/>
                <w:iCs/>
                <w:sz w:val="24"/>
                <w:szCs w:val="24"/>
                <w:lang w:val="hy-AM"/>
              </w:rPr>
              <w:t>2.3.3. Ահաբեկչության դեմ պայքար, զանգվածային ոչնչացման զենքի տարածման և զենքի ապօրինի արտահանման արգելք</w:t>
            </w:r>
          </w:p>
        </w:tc>
      </w:tr>
      <w:tr w:rsidR="007972EA" w:rsidRPr="007972EA" w14:paraId="54500D7F" w14:textId="77777777" w:rsidTr="00452D41">
        <w:trPr>
          <w:trHeight w:val="165"/>
        </w:trPr>
        <w:tc>
          <w:tcPr>
            <w:tcW w:w="14560" w:type="dxa"/>
            <w:gridSpan w:val="4"/>
            <w:vAlign w:val="center"/>
          </w:tcPr>
          <w:p w14:paraId="2854B27C"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Կարճաժամկետ առաջնահերթություններ</w:t>
            </w:r>
          </w:p>
        </w:tc>
      </w:tr>
      <w:tr w:rsidR="007972EA" w:rsidRPr="007972EA" w14:paraId="4E5BF961" w14:textId="77777777" w:rsidTr="00452D41">
        <w:trPr>
          <w:trHeight w:val="165"/>
        </w:trPr>
        <w:tc>
          <w:tcPr>
            <w:tcW w:w="843" w:type="dxa"/>
          </w:tcPr>
          <w:p w14:paraId="1E22A1CC" w14:textId="77777777" w:rsidR="007972EA" w:rsidRPr="007972EA" w:rsidRDefault="007972EA" w:rsidP="007972EA">
            <w:pPr>
              <w:numPr>
                <w:ilvl w:val="0"/>
                <w:numId w:val="1"/>
              </w:numPr>
              <w:contextualSpacing/>
              <w:jc w:val="both"/>
              <w:rPr>
                <w:rFonts w:ascii="GHEA Grapalat" w:hAnsi="GHEA Grapalat"/>
                <w:sz w:val="24"/>
                <w:szCs w:val="24"/>
                <w:lang w:val="ru-RU"/>
              </w:rPr>
            </w:pPr>
          </w:p>
        </w:tc>
        <w:tc>
          <w:tcPr>
            <w:tcW w:w="7878" w:type="dxa"/>
          </w:tcPr>
          <w:p w14:paraId="31A5CEBA"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Շարունակել կիրառել Ֆինանսական գործողությունների աշխատանքային խմբի (FATF) կողմից սահմանված չափանիշները, շարունակել բարելավել փողերի լվացման և ահաբեկչության ֆինանսավորման դեմ պայքարի՝ նրա համակարգի (ՓԼ/ԱՖ համակարգ) արդյունավետությունը։</w:t>
            </w:r>
          </w:p>
        </w:tc>
        <w:tc>
          <w:tcPr>
            <w:tcW w:w="2354" w:type="dxa"/>
            <w:vAlign w:val="center"/>
          </w:tcPr>
          <w:p w14:paraId="40F87137"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Շարունակական</w:t>
            </w:r>
          </w:p>
        </w:tc>
        <w:tc>
          <w:tcPr>
            <w:tcW w:w="3485" w:type="dxa"/>
            <w:vAlign w:val="center"/>
          </w:tcPr>
          <w:p w14:paraId="161C14F0"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Բոլոր ստորաբաժանումները՝ ըստ վերաբերելիության</w:t>
            </w:r>
          </w:p>
        </w:tc>
      </w:tr>
      <w:tr w:rsidR="007972EA" w:rsidRPr="007972EA" w14:paraId="376198B7" w14:textId="77777777" w:rsidTr="00452D41">
        <w:trPr>
          <w:trHeight w:val="330"/>
        </w:trPr>
        <w:tc>
          <w:tcPr>
            <w:tcW w:w="14560" w:type="dxa"/>
            <w:gridSpan w:val="4"/>
            <w:vAlign w:val="center"/>
          </w:tcPr>
          <w:p w14:paraId="397ACEF0" w14:textId="77777777" w:rsidR="007972EA" w:rsidRPr="007972EA" w:rsidRDefault="007972EA" w:rsidP="00452D41">
            <w:pPr>
              <w:ind w:left="360"/>
              <w:jc w:val="center"/>
              <w:rPr>
                <w:rFonts w:ascii="GHEA Grapalat" w:hAnsi="GHEA Grapalat"/>
                <w:sz w:val="24"/>
                <w:szCs w:val="24"/>
                <w:u w:val="single"/>
                <w:lang w:val="hy-AM"/>
              </w:rPr>
            </w:pPr>
            <w:r w:rsidRPr="007972EA">
              <w:rPr>
                <w:rFonts w:ascii="GHEA Grapalat" w:hAnsi="GHEA Grapalat"/>
                <w:sz w:val="24"/>
                <w:szCs w:val="24"/>
                <w:u w:val="single"/>
                <w:lang w:val="hy-AM"/>
              </w:rPr>
              <w:t>Միջնաժամկետ առաջնահերթություններ</w:t>
            </w:r>
          </w:p>
        </w:tc>
      </w:tr>
      <w:tr w:rsidR="007972EA" w:rsidRPr="007972EA" w14:paraId="294C05AB" w14:textId="77777777" w:rsidTr="00452D41">
        <w:trPr>
          <w:trHeight w:val="165"/>
        </w:trPr>
        <w:tc>
          <w:tcPr>
            <w:tcW w:w="843" w:type="dxa"/>
          </w:tcPr>
          <w:p w14:paraId="362C81EB" w14:textId="77777777" w:rsidR="007972EA" w:rsidRPr="007972EA" w:rsidRDefault="007972EA" w:rsidP="007972EA">
            <w:pPr>
              <w:numPr>
                <w:ilvl w:val="0"/>
                <w:numId w:val="1"/>
              </w:numPr>
              <w:contextualSpacing/>
              <w:jc w:val="both"/>
              <w:rPr>
                <w:rFonts w:ascii="GHEA Grapalat" w:hAnsi="GHEA Grapalat"/>
                <w:sz w:val="24"/>
                <w:szCs w:val="24"/>
                <w:lang w:val="ru-RU"/>
              </w:rPr>
            </w:pPr>
          </w:p>
        </w:tc>
        <w:tc>
          <w:tcPr>
            <w:tcW w:w="7878" w:type="dxa"/>
          </w:tcPr>
          <w:p w14:paraId="6480DB40" w14:textId="77777777" w:rsidR="007972EA" w:rsidRPr="007972EA" w:rsidRDefault="007972EA" w:rsidP="007972EA">
            <w:pPr>
              <w:jc w:val="both"/>
              <w:rPr>
                <w:rFonts w:ascii="GHEA Grapalat" w:hAnsi="GHEA Grapalat"/>
                <w:sz w:val="24"/>
                <w:szCs w:val="24"/>
                <w:lang w:val="hy-AM"/>
              </w:rPr>
            </w:pPr>
            <w:r w:rsidRPr="007972EA">
              <w:rPr>
                <w:rFonts w:ascii="GHEA Grapalat" w:hAnsi="GHEA Grapalat"/>
                <w:sz w:val="24"/>
                <w:szCs w:val="24"/>
                <w:lang w:val="hy-AM"/>
              </w:rPr>
              <w:t>Համագործակցել մարդու իրավունքների վրա հիմնված ահաբեկչության դեմ պայքարի, ներառյալ՝ ահաբեկչական հանցագործությունների իրավական սահմանման մասով միջազգային կոնսենսուսը խորացնելու հարցում, այդ թվում՝ խթանելով «Ահաբեկչության կանխարգելման մասին» Եվրոպայի խորհրդի կոնվենցիայում ահաբեկչական հանցագործությունների սահմանումների վերանայման վերաբերյալ համաձայնագրի կնքումը։</w:t>
            </w:r>
          </w:p>
        </w:tc>
        <w:tc>
          <w:tcPr>
            <w:tcW w:w="2354" w:type="dxa"/>
            <w:vAlign w:val="center"/>
          </w:tcPr>
          <w:p w14:paraId="3E682002" w14:textId="77777777" w:rsidR="007972EA" w:rsidRPr="007972EA" w:rsidRDefault="007972EA" w:rsidP="007972EA">
            <w:pPr>
              <w:jc w:val="center"/>
              <w:rPr>
                <w:rFonts w:ascii="GHEA Grapalat" w:hAnsi="GHEA Grapalat"/>
                <w:sz w:val="24"/>
                <w:szCs w:val="24"/>
                <w:lang w:val="hy-AM"/>
              </w:rPr>
            </w:pPr>
            <w:r w:rsidRPr="007972EA">
              <w:rPr>
                <w:rFonts w:ascii="GHEA Grapalat" w:hAnsi="GHEA Grapalat"/>
                <w:sz w:val="24"/>
                <w:szCs w:val="24"/>
                <w:lang w:val="hy-AM"/>
              </w:rPr>
              <w:t>2032 թվական</w:t>
            </w:r>
          </w:p>
        </w:tc>
        <w:tc>
          <w:tcPr>
            <w:tcW w:w="3485" w:type="dxa"/>
            <w:vAlign w:val="center"/>
          </w:tcPr>
          <w:p w14:paraId="3BA0CCEF"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Քրեական օրենսդրության, քրեակատարողական և պրոբացիայի ոլորտի քաղաքականության մշակման վարչություն</w:t>
            </w:r>
          </w:p>
          <w:p w14:paraId="22E2CF5B" w14:textId="77777777" w:rsidR="007972EA" w:rsidRPr="007972EA" w:rsidRDefault="007972EA" w:rsidP="00452D41">
            <w:pPr>
              <w:jc w:val="center"/>
              <w:rPr>
                <w:rFonts w:ascii="GHEA Grapalat" w:hAnsi="GHEA Grapalat"/>
                <w:sz w:val="24"/>
                <w:szCs w:val="24"/>
                <w:lang w:val="hy-AM"/>
              </w:rPr>
            </w:pPr>
          </w:p>
          <w:p w14:paraId="7239AA6D" w14:textId="77777777" w:rsidR="007972EA" w:rsidRPr="007972EA" w:rsidRDefault="007972EA" w:rsidP="00452D41">
            <w:pPr>
              <w:jc w:val="center"/>
              <w:rPr>
                <w:rFonts w:ascii="GHEA Grapalat" w:hAnsi="GHEA Grapalat"/>
                <w:sz w:val="24"/>
                <w:szCs w:val="24"/>
                <w:lang w:val="hy-AM"/>
              </w:rPr>
            </w:pPr>
            <w:r w:rsidRPr="007972EA">
              <w:rPr>
                <w:rFonts w:ascii="GHEA Grapalat" w:hAnsi="GHEA Grapalat"/>
                <w:sz w:val="24"/>
                <w:szCs w:val="24"/>
                <w:lang w:val="hy-AM"/>
              </w:rPr>
              <w:t>Միջազգային իրավական համագործակցության վարչություն</w:t>
            </w:r>
          </w:p>
        </w:tc>
      </w:tr>
    </w:tbl>
    <w:p w14:paraId="365FD4CC" w14:textId="77777777" w:rsidR="00E95122" w:rsidRPr="00707328" w:rsidRDefault="00E95122" w:rsidP="00927D5B">
      <w:pPr>
        <w:rPr>
          <w:rFonts w:ascii="GHEA Grapalat" w:hAnsi="GHEA Grapalat"/>
          <w:sz w:val="24"/>
          <w:szCs w:val="24"/>
          <w:lang w:val="hy-AM"/>
        </w:rPr>
      </w:pPr>
    </w:p>
    <w:sectPr w:rsidR="00E95122" w:rsidRPr="00707328" w:rsidSect="00F67D05">
      <w:footerReference w:type="default" r:id="rId8"/>
      <w:pgSz w:w="16838" w:h="11906" w:orient="landscape"/>
      <w:pgMar w:top="709" w:right="1134" w:bottom="426" w:left="1134"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A3CA9C" w16cid:durableId="2D78DBF0"/>
  <w16cid:commentId w16cid:paraId="07A21674" w16cid:durableId="2D78DC91"/>
  <w16cid:commentId w16cid:paraId="79970DED" w16cid:durableId="2D78E4CD"/>
  <w16cid:commentId w16cid:paraId="53D94BDD" w16cid:durableId="2D78E57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A921A" w14:textId="77777777" w:rsidR="00801692" w:rsidRDefault="00801692" w:rsidP="000E6D6E">
      <w:pPr>
        <w:spacing w:after="0" w:line="240" w:lineRule="auto"/>
      </w:pPr>
      <w:r>
        <w:separator/>
      </w:r>
    </w:p>
  </w:endnote>
  <w:endnote w:type="continuationSeparator" w:id="0">
    <w:p w14:paraId="310C7144" w14:textId="77777777" w:rsidR="00801692" w:rsidRDefault="00801692" w:rsidP="000E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160773"/>
      <w:docPartObj>
        <w:docPartGallery w:val="Page Numbers (Bottom of Page)"/>
        <w:docPartUnique/>
      </w:docPartObj>
    </w:sdtPr>
    <w:sdtEndPr>
      <w:rPr>
        <w:noProof/>
      </w:rPr>
    </w:sdtEndPr>
    <w:sdtContent>
      <w:p w14:paraId="198FA916" w14:textId="25FC1C13" w:rsidR="000E6D6E" w:rsidRDefault="000E6D6E">
        <w:pPr>
          <w:pStyle w:val="Footer"/>
          <w:jc w:val="right"/>
        </w:pPr>
        <w:r>
          <w:fldChar w:fldCharType="begin"/>
        </w:r>
        <w:r>
          <w:instrText xml:space="preserve"> PAGE   \* MERGEFORMAT </w:instrText>
        </w:r>
        <w:r>
          <w:fldChar w:fldCharType="separate"/>
        </w:r>
        <w:r w:rsidR="00F01D06">
          <w:rPr>
            <w:noProof/>
          </w:rPr>
          <w:t>13</w:t>
        </w:r>
        <w:r>
          <w:rPr>
            <w:noProof/>
          </w:rPr>
          <w:fldChar w:fldCharType="end"/>
        </w:r>
      </w:p>
    </w:sdtContent>
  </w:sdt>
  <w:p w14:paraId="37565EC6" w14:textId="77777777" w:rsidR="000E6D6E" w:rsidRDefault="000E6D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C642E" w14:textId="77777777" w:rsidR="00801692" w:rsidRDefault="00801692" w:rsidP="000E6D6E">
      <w:pPr>
        <w:spacing w:after="0" w:line="240" w:lineRule="auto"/>
      </w:pPr>
      <w:r>
        <w:separator/>
      </w:r>
    </w:p>
  </w:footnote>
  <w:footnote w:type="continuationSeparator" w:id="0">
    <w:p w14:paraId="4C6E0499" w14:textId="77777777" w:rsidR="00801692" w:rsidRDefault="00801692" w:rsidP="000E6D6E">
      <w:pPr>
        <w:spacing w:after="0" w:line="240" w:lineRule="auto"/>
      </w:pPr>
      <w:r>
        <w:continuationSeparator/>
      </w:r>
    </w:p>
  </w:footnote>
  <w:footnote w:id="1">
    <w:p w14:paraId="63C12F8D" w14:textId="657098AB" w:rsidR="00E02DCD" w:rsidRPr="00E02DCD" w:rsidRDefault="00E02DCD">
      <w:pPr>
        <w:pStyle w:val="FootnoteText"/>
        <w:rPr>
          <w:lang w:val="hy-AM"/>
        </w:rPr>
      </w:pPr>
      <w:r>
        <w:rPr>
          <w:rStyle w:val="FootnoteReference"/>
        </w:rPr>
        <w:footnoteRef/>
      </w:r>
      <w:r>
        <w:t xml:space="preserve"> </w:t>
      </w:r>
      <w:r>
        <w:rPr>
          <w:lang w:val="hy-AM"/>
        </w:rPr>
        <w:t xml:space="preserve">Սույն ժամանակացույցում տեղ են գտել վերաբերելի բոլոր առաջնահերթությունները՝ առկա </w:t>
      </w:r>
      <w:r w:rsidR="007204FD">
        <w:rPr>
          <w:lang w:val="hy-AM"/>
        </w:rPr>
        <w:t>ձևակերպումներին համահունչ: Դրանց իրականացումը ենթադրում է այդ ուղղություններով բարեփոխումների ապահովում:</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958AE"/>
    <w:multiLevelType w:val="multilevel"/>
    <w:tmpl w:val="1DBAB6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83"/>
    <w:rsid w:val="00000021"/>
    <w:rsid w:val="00021781"/>
    <w:rsid w:val="00026379"/>
    <w:rsid w:val="000359F1"/>
    <w:rsid w:val="00036E74"/>
    <w:rsid w:val="000503C0"/>
    <w:rsid w:val="00052344"/>
    <w:rsid w:val="00053C6C"/>
    <w:rsid w:val="00060420"/>
    <w:rsid w:val="00066827"/>
    <w:rsid w:val="000A205C"/>
    <w:rsid w:val="000A6B52"/>
    <w:rsid w:val="000C3EB1"/>
    <w:rsid w:val="000C6BB1"/>
    <w:rsid w:val="000C6BCC"/>
    <w:rsid w:val="000D253F"/>
    <w:rsid w:val="000D4063"/>
    <w:rsid w:val="000E6D6E"/>
    <w:rsid w:val="000E748F"/>
    <w:rsid w:val="000F1A7D"/>
    <w:rsid w:val="00102B3F"/>
    <w:rsid w:val="001039C3"/>
    <w:rsid w:val="00111FB9"/>
    <w:rsid w:val="0012035F"/>
    <w:rsid w:val="00153647"/>
    <w:rsid w:val="001561B1"/>
    <w:rsid w:val="00161BEB"/>
    <w:rsid w:val="00162E77"/>
    <w:rsid w:val="00167CC2"/>
    <w:rsid w:val="00184CE7"/>
    <w:rsid w:val="00186621"/>
    <w:rsid w:val="00194E3E"/>
    <w:rsid w:val="001A1020"/>
    <w:rsid w:val="001A4792"/>
    <w:rsid w:val="001A4A88"/>
    <w:rsid w:val="001B3B8D"/>
    <w:rsid w:val="001C3FA9"/>
    <w:rsid w:val="001F3BEB"/>
    <w:rsid w:val="00200508"/>
    <w:rsid w:val="00204198"/>
    <w:rsid w:val="002068C3"/>
    <w:rsid w:val="00212512"/>
    <w:rsid w:val="00216EFC"/>
    <w:rsid w:val="00224EC7"/>
    <w:rsid w:val="00227936"/>
    <w:rsid w:val="002300EA"/>
    <w:rsid w:val="0024533F"/>
    <w:rsid w:val="0025146A"/>
    <w:rsid w:val="002530C0"/>
    <w:rsid w:val="00256339"/>
    <w:rsid w:val="002641CA"/>
    <w:rsid w:val="00273495"/>
    <w:rsid w:val="00281927"/>
    <w:rsid w:val="0029130E"/>
    <w:rsid w:val="002957B9"/>
    <w:rsid w:val="002A5D97"/>
    <w:rsid w:val="002A6494"/>
    <w:rsid w:val="002B2526"/>
    <w:rsid w:val="002C0740"/>
    <w:rsid w:val="002C668D"/>
    <w:rsid w:val="002D7FAD"/>
    <w:rsid w:val="002E28DC"/>
    <w:rsid w:val="002F0965"/>
    <w:rsid w:val="002F126F"/>
    <w:rsid w:val="002F25A3"/>
    <w:rsid w:val="002F30F2"/>
    <w:rsid w:val="002F55E1"/>
    <w:rsid w:val="00301A47"/>
    <w:rsid w:val="0030490F"/>
    <w:rsid w:val="00311EFB"/>
    <w:rsid w:val="003124B9"/>
    <w:rsid w:val="00317D82"/>
    <w:rsid w:val="00320B13"/>
    <w:rsid w:val="00324C35"/>
    <w:rsid w:val="00326E83"/>
    <w:rsid w:val="00333283"/>
    <w:rsid w:val="003511CE"/>
    <w:rsid w:val="0036067A"/>
    <w:rsid w:val="0038210B"/>
    <w:rsid w:val="0038311E"/>
    <w:rsid w:val="00384273"/>
    <w:rsid w:val="003A35E1"/>
    <w:rsid w:val="003A56BE"/>
    <w:rsid w:val="003B3AD3"/>
    <w:rsid w:val="003C7B86"/>
    <w:rsid w:val="003D0982"/>
    <w:rsid w:val="003D1206"/>
    <w:rsid w:val="003D1730"/>
    <w:rsid w:val="003D6F27"/>
    <w:rsid w:val="003E256C"/>
    <w:rsid w:val="004007A6"/>
    <w:rsid w:val="00400B37"/>
    <w:rsid w:val="00403723"/>
    <w:rsid w:val="004206E6"/>
    <w:rsid w:val="004237FA"/>
    <w:rsid w:val="0042597E"/>
    <w:rsid w:val="00437CCC"/>
    <w:rsid w:val="00452D41"/>
    <w:rsid w:val="00454F62"/>
    <w:rsid w:val="00456A6C"/>
    <w:rsid w:val="0046590D"/>
    <w:rsid w:val="00466A9A"/>
    <w:rsid w:val="00475552"/>
    <w:rsid w:val="0049132F"/>
    <w:rsid w:val="004955EE"/>
    <w:rsid w:val="00496947"/>
    <w:rsid w:val="004A68B1"/>
    <w:rsid w:val="004A7D74"/>
    <w:rsid w:val="004B2CC0"/>
    <w:rsid w:val="004B68AC"/>
    <w:rsid w:val="004B7AA8"/>
    <w:rsid w:val="004D1D9B"/>
    <w:rsid w:val="004D6941"/>
    <w:rsid w:val="004E5A5D"/>
    <w:rsid w:val="004F315A"/>
    <w:rsid w:val="004F6A24"/>
    <w:rsid w:val="00500262"/>
    <w:rsid w:val="00505DE4"/>
    <w:rsid w:val="00515A9D"/>
    <w:rsid w:val="00516720"/>
    <w:rsid w:val="00517C23"/>
    <w:rsid w:val="0052084A"/>
    <w:rsid w:val="00524181"/>
    <w:rsid w:val="005354D3"/>
    <w:rsid w:val="00546105"/>
    <w:rsid w:val="00553340"/>
    <w:rsid w:val="00556644"/>
    <w:rsid w:val="005833E0"/>
    <w:rsid w:val="00583701"/>
    <w:rsid w:val="00594893"/>
    <w:rsid w:val="00595322"/>
    <w:rsid w:val="005A0AE0"/>
    <w:rsid w:val="005A1A50"/>
    <w:rsid w:val="005A30CE"/>
    <w:rsid w:val="005B48EF"/>
    <w:rsid w:val="005C7995"/>
    <w:rsid w:val="005D1151"/>
    <w:rsid w:val="005F21BC"/>
    <w:rsid w:val="00616072"/>
    <w:rsid w:val="006357D1"/>
    <w:rsid w:val="006675BF"/>
    <w:rsid w:val="00670449"/>
    <w:rsid w:val="00676BBB"/>
    <w:rsid w:val="006832AA"/>
    <w:rsid w:val="006876AC"/>
    <w:rsid w:val="006943FB"/>
    <w:rsid w:val="006952EC"/>
    <w:rsid w:val="006B1D3F"/>
    <w:rsid w:val="006C003C"/>
    <w:rsid w:val="006D0B1B"/>
    <w:rsid w:val="006E76E9"/>
    <w:rsid w:val="006F076C"/>
    <w:rsid w:val="006F0FAF"/>
    <w:rsid w:val="006F5D25"/>
    <w:rsid w:val="00707328"/>
    <w:rsid w:val="007204FD"/>
    <w:rsid w:val="007327BD"/>
    <w:rsid w:val="007336FD"/>
    <w:rsid w:val="00737DBC"/>
    <w:rsid w:val="00746191"/>
    <w:rsid w:val="00770273"/>
    <w:rsid w:val="0077552B"/>
    <w:rsid w:val="00780D76"/>
    <w:rsid w:val="007872D6"/>
    <w:rsid w:val="007953A9"/>
    <w:rsid w:val="0079676E"/>
    <w:rsid w:val="007972EA"/>
    <w:rsid w:val="007A4557"/>
    <w:rsid w:val="007B1032"/>
    <w:rsid w:val="007B6678"/>
    <w:rsid w:val="007B7159"/>
    <w:rsid w:val="007C10D2"/>
    <w:rsid w:val="007C1E06"/>
    <w:rsid w:val="007D204C"/>
    <w:rsid w:val="007E0EC7"/>
    <w:rsid w:val="007F6C52"/>
    <w:rsid w:val="007F7961"/>
    <w:rsid w:val="00801692"/>
    <w:rsid w:val="008038D7"/>
    <w:rsid w:val="008116CD"/>
    <w:rsid w:val="008170C7"/>
    <w:rsid w:val="008234E2"/>
    <w:rsid w:val="008267E8"/>
    <w:rsid w:val="008458BB"/>
    <w:rsid w:val="00850E4A"/>
    <w:rsid w:val="00851783"/>
    <w:rsid w:val="00852811"/>
    <w:rsid w:val="00870826"/>
    <w:rsid w:val="008747E4"/>
    <w:rsid w:val="008817D1"/>
    <w:rsid w:val="00892C40"/>
    <w:rsid w:val="008A5CA7"/>
    <w:rsid w:val="008B783C"/>
    <w:rsid w:val="008D04D8"/>
    <w:rsid w:val="008E1555"/>
    <w:rsid w:val="008E215C"/>
    <w:rsid w:val="008F4D64"/>
    <w:rsid w:val="009031E2"/>
    <w:rsid w:val="00907148"/>
    <w:rsid w:val="00907CDA"/>
    <w:rsid w:val="00920AA3"/>
    <w:rsid w:val="0092391B"/>
    <w:rsid w:val="0092451B"/>
    <w:rsid w:val="00927D5B"/>
    <w:rsid w:val="009464C0"/>
    <w:rsid w:val="009465FE"/>
    <w:rsid w:val="00954106"/>
    <w:rsid w:val="00956751"/>
    <w:rsid w:val="00962946"/>
    <w:rsid w:val="00965E99"/>
    <w:rsid w:val="009728D6"/>
    <w:rsid w:val="00983E52"/>
    <w:rsid w:val="00987DB9"/>
    <w:rsid w:val="009938BD"/>
    <w:rsid w:val="009946AB"/>
    <w:rsid w:val="00996C71"/>
    <w:rsid w:val="009A4DE0"/>
    <w:rsid w:val="009B0149"/>
    <w:rsid w:val="009B7A13"/>
    <w:rsid w:val="009B7EC7"/>
    <w:rsid w:val="009C38C7"/>
    <w:rsid w:val="009C44E6"/>
    <w:rsid w:val="009C65D6"/>
    <w:rsid w:val="009C7FE9"/>
    <w:rsid w:val="009D1EAE"/>
    <w:rsid w:val="009D5499"/>
    <w:rsid w:val="009D6FF5"/>
    <w:rsid w:val="009E6CAF"/>
    <w:rsid w:val="009E7674"/>
    <w:rsid w:val="00A01E54"/>
    <w:rsid w:val="00A04536"/>
    <w:rsid w:val="00A061E7"/>
    <w:rsid w:val="00A11D32"/>
    <w:rsid w:val="00A27028"/>
    <w:rsid w:val="00A312B0"/>
    <w:rsid w:val="00A363D1"/>
    <w:rsid w:val="00A36BEA"/>
    <w:rsid w:val="00A42D4D"/>
    <w:rsid w:val="00A64A76"/>
    <w:rsid w:val="00A65CF8"/>
    <w:rsid w:val="00A67B1C"/>
    <w:rsid w:val="00A77632"/>
    <w:rsid w:val="00A944BD"/>
    <w:rsid w:val="00AA0BD5"/>
    <w:rsid w:val="00AA536E"/>
    <w:rsid w:val="00AB3FCD"/>
    <w:rsid w:val="00AB5E69"/>
    <w:rsid w:val="00AD1BDD"/>
    <w:rsid w:val="00AD2F0D"/>
    <w:rsid w:val="00AD75EB"/>
    <w:rsid w:val="00AD7E6D"/>
    <w:rsid w:val="00AE01A6"/>
    <w:rsid w:val="00AE5669"/>
    <w:rsid w:val="00AF482C"/>
    <w:rsid w:val="00B11275"/>
    <w:rsid w:val="00B127C9"/>
    <w:rsid w:val="00B13CB5"/>
    <w:rsid w:val="00B15103"/>
    <w:rsid w:val="00B25623"/>
    <w:rsid w:val="00B26A10"/>
    <w:rsid w:val="00B40ECA"/>
    <w:rsid w:val="00B458F2"/>
    <w:rsid w:val="00B52521"/>
    <w:rsid w:val="00B569A3"/>
    <w:rsid w:val="00B6207C"/>
    <w:rsid w:val="00B74C12"/>
    <w:rsid w:val="00B806FB"/>
    <w:rsid w:val="00B81B75"/>
    <w:rsid w:val="00B86F1F"/>
    <w:rsid w:val="00B90878"/>
    <w:rsid w:val="00B936E2"/>
    <w:rsid w:val="00BA4203"/>
    <w:rsid w:val="00BB1296"/>
    <w:rsid w:val="00BB1C1C"/>
    <w:rsid w:val="00BC4F9D"/>
    <w:rsid w:val="00BD3392"/>
    <w:rsid w:val="00BD4365"/>
    <w:rsid w:val="00BD5DBD"/>
    <w:rsid w:val="00BD6E63"/>
    <w:rsid w:val="00BE1354"/>
    <w:rsid w:val="00BF681A"/>
    <w:rsid w:val="00C1677E"/>
    <w:rsid w:val="00C215AE"/>
    <w:rsid w:val="00C26BF5"/>
    <w:rsid w:val="00C331EE"/>
    <w:rsid w:val="00C44C28"/>
    <w:rsid w:val="00C44F2A"/>
    <w:rsid w:val="00C45280"/>
    <w:rsid w:val="00C47BA9"/>
    <w:rsid w:val="00C62BD2"/>
    <w:rsid w:val="00C82D1B"/>
    <w:rsid w:val="00C93F5A"/>
    <w:rsid w:val="00CB696D"/>
    <w:rsid w:val="00CB6BC4"/>
    <w:rsid w:val="00CC17AD"/>
    <w:rsid w:val="00CC6CAD"/>
    <w:rsid w:val="00CD39FC"/>
    <w:rsid w:val="00CD45BB"/>
    <w:rsid w:val="00CD63F9"/>
    <w:rsid w:val="00CF6A8C"/>
    <w:rsid w:val="00D0116B"/>
    <w:rsid w:val="00D03E72"/>
    <w:rsid w:val="00D108EC"/>
    <w:rsid w:val="00D133B2"/>
    <w:rsid w:val="00D15862"/>
    <w:rsid w:val="00D33627"/>
    <w:rsid w:val="00D4191A"/>
    <w:rsid w:val="00D46A91"/>
    <w:rsid w:val="00D77BAC"/>
    <w:rsid w:val="00D80AE0"/>
    <w:rsid w:val="00D817EA"/>
    <w:rsid w:val="00D96B69"/>
    <w:rsid w:val="00DA0507"/>
    <w:rsid w:val="00DA58FF"/>
    <w:rsid w:val="00DA6B96"/>
    <w:rsid w:val="00DA7FEB"/>
    <w:rsid w:val="00DB2244"/>
    <w:rsid w:val="00DB6233"/>
    <w:rsid w:val="00DB723B"/>
    <w:rsid w:val="00DC3276"/>
    <w:rsid w:val="00DD4BF6"/>
    <w:rsid w:val="00DD59A3"/>
    <w:rsid w:val="00DD657C"/>
    <w:rsid w:val="00DE683C"/>
    <w:rsid w:val="00DF150D"/>
    <w:rsid w:val="00DF1DB4"/>
    <w:rsid w:val="00DF7F3F"/>
    <w:rsid w:val="00E02DCD"/>
    <w:rsid w:val="00E048C8"/>
    <w:rsid w:val="00E22976"/>
    <w:rsid w:val="00E251EF"/>
    <w:rsid w:val="00E27724"/>
    <w:rsid w:val="00E33DDA"/>
    <w:rsid w:val="00E34CA7"/>
    <w:rsid w:val="00E363C5"/>
    <w:rsid w:val="00E7202B"/>
    <w:rsid w:val="00E87B59"/>
    <w:rsid w:val="00E91283"/>
    <w:rsid w:val="00E95122"/>
    <w:rsid w:val="00E9706B"/>
    <w:rsid w:val="00E97731"/>
    <w:rsid w:val="00ED447E"/>
    <w:rsid w:val="00EF1266"/>
    <w:rsid w:val="00F01D06"/>
    <w:rsid w:val="00F05F41"/>
    <w:rsid w:val="00F272B8"/>
    <w:rsid w:val="00F37774"/>
    <w:rsid w:val="00F500C7"/>
    <w:rsid w:val="00F51C1D"/>
    <w:rsid w:val="00F67D05"/>
    <w:rsid w:val="00F71CBD"/>
    <w:rsid w:val="00F80B9D"/>
    <w:rsid w:val="00F82B3C"/>
    <w:rsid w:val="00F9617B"/>
    <w:rsid w:val="00F96F62"/>
    <w:rsid w:val="00FA1487"/>
    <w:rsid w:val="00FB72E8"/>
    <w:rsid w:val="00FD0E78"/>
    <w:rsid w:val="00FD2641"/>
    <w:rsid w:val="00FE18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34C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8170C7"/>
    <w:pPr>
      <w:keepNext/>
      <w:keepLines/>
      <w:spacing w:before="240" w:after="40" w:line="240" w:lineRule="auto"/>
      <w:outlineLvl w:val="3"/>
    </w:pPr>
    <w:rPr>
      <w:rFonts w:ascii="Times New Roman" w:eastAsia="Times New Roman" w:hAnsi="Times New Roman" w:cs="Times New Roman"/>
      <w:b/>
      <w:bCs/>
      <w:sz w:val="24"/>
      <w:szCs w:val="24"/>
      <w:lang w:val="h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D6E"/>
  </w:style>
  <w:style w:type="paragraph" w:styleId="Footer">
    <w:name w:val="footer"/>
    <w:basedOn w:val="Normal"/>
    <w:link w:val="FooterChar"/>
    <w:uiPriority w:val="99"/>
    <w:unhideWhenUsed/>
    <w:rsid w:val="000E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D6E"/>
  </w:style>
  <w:style w:type="paragraph" w:styleId="ListParagraph">
    <w:name w:val="List Paragraph"/>
    <w:basedOn w:val="Normal"/>
    <w:uiPriority w:val="34"/>
    <w:qFormat/>
    <w:rsid w:val="004237FA"/>
    <w:pPr>
      <w:ind w:left="720"/>
      <w:contextualSpacing/>
    </w:pPr>
  </w:style>
  <w:style w:type="character" w:styleId="CommentReference">
    <w:name w:val="annotation reference"/>
    <w:basedOn w:val="DefaultParagraphFont"/>
    <w:uiPriority w:val="99"/>
    <w:semiHidden/>
    <w:unhideWhenUsed/>
    <w:rsid w:val="009464C0"/>
    <w:rPr>
      <w:sz w:val="16"/>
      <w:szCs w:val="16"/>
    </w:rPr>
  </w:style>
  <w:style w:type="paragraph" w:styleId="CommentText">
    <w:name w:val="annotation text"/>
    <w:basedOn w:val="Normal"/>
    <w:link w:val="CommentTextChar"/>
    <w:uiPriority w:val="99"/>
    <w:semiHidden/>
    <w:unhideWhenUsed/>
    <w:rsid w:val="009464C0"/>
    <w:pPr>
      <w:spacing w:line="240" w:lineRule="auto"/>
    </w:pPr>
    <w:rPr>
      <w:sz w:val="20"/>
      <w:szCs w:val="20"/>
    </w:rPr>
  </w:style>
  <w:style w:type="character" w:customStyle="1" w:styleId="CommentTextChar">
    <w:name w:val="Comment Text Char"/>
    <w:basedOn w:val="DefaultParagraphFont"/>
    <w:link w:val="CommentText"/>
    <w:uiPriority w:val="99"/>
    <w:semiHidden/>
    <w:rsid w:val="009464C0"/>
    <w:rPr>
      <w:sz w:val="20"/>
      <w:szCs w:val="20"/>
    </w:rPr>
  </w:style>
  <w:style w:type="paragraph" w:styleId="CommentSubject">
    <w:name w:val="annotation subject"/>
    <w:basedOn w:val="CommentText"/>
    <w:next w:val="CommentText"/>
    <w:link w:val="CommentSubjectChar"/>
    <w:uiPriority w:val="99"/>
    <w:semiHidden/>
    <w:unhideWhenUsed/>
    <w:rsid w:val="009464C0"/>
    <w:rPr>
      <w:b/>
      <w:bCs/>
    </w:rPr>
  </w:style>
  <w:style w:type="character" w:customStyle="1" w:styleId="CommentSubjectChar">
    <w:name w:val="Comment Subject Char"/>
    <w:basedOn w:val="CommentTextChar"/>
    <w:link w:val="CommentSubject"/>
    <w:uiPriority w:val="99"/>
    <w:semiHidden/>
    <w:rsid w:val="009464C0"/>
    <w:rPr>
      <w:b/>
      <w:bCs/>
      <w:sz w:val="20"/>
      <w:szCs w:val="20"/>
    </w:rPr>
  </w:style>
  <w:style w:type="paragraph" w:styleId="BalloonText">
    <w:name w:val="Balloon Text"/>
    <w:basedOn w:val="Normal"/>
    <w:link w:val="BalloonTextChar"/>
    <w:uiPriority w:val="99"/>
    <w:semiHidden/>
    <w:unhideWhenUsed/>
    <w:rsid w:val="00946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4C0"/>
    <w:rPr>
      <w:rFonts w:ascii="Segoe UI" w:hAnsi="Segoe UI" w:cs="Segoe UI"/>
      <w:sz w:val="18"/>
      <w:szCs w:val="18"/>
    </w:rPr>
  </w:style>
  <w:style w:type="character" w:customStyle="1" w:styleId="Heading4Char">
    <w:name w:val="Heading 4 Char"/>
    <w:basedOn w:val="DefaultParagraphFont"/>
    <w:link w:val="Heading4"/>
    <w:uiPriority w:val="9"/>
    <w:rsid w:val="008170C7"/>
    <w:rPr>
      <w:rFonts w:ascii="Times New Roman" w:eastAsia="Times New Roman" w:hAnsi="Times New Roman" w:cs="Times New Roman"/>
      <w:b/>
      <w:bCs/>
      <w:sz w:val="24"/>
      <w:szCs w:val="24"/>
      <w:lang w:val="hy"/>
    </w:rPr>
  </w:style>
  <w:style w:type="paragraph" w:styleId="FootnoteText">
    <w:name w:val="footnote text"/>
    <w:basedOn w:val="Normal"/>
    <w:link w:val="FootnoteTextChar"/>
    <w:uiPriority w:val="99"/>
    <w:semiHidden/>
    <w:unhideWhenUsed/>
    <w:rsid w:val="00E0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DCD"/>
    <w:rPr>
      <w:sz w:val="20"/>
      <w:szCs w:val="20"/>
    </w:rPr>
  </w:style>
  <w:style w:type="character" w:styleId="FootnoteReference">
    <w:name w:val="footnote reference"/>
    <w:basedOn w:val="DefaultParagraphFont"/>
    <w:uiPriority w:val="99"/>
    <w:semiHidden/>
    <w:unhideWhenUsed/>
    <w:rsid w:val="00E02DCD"/>
    <w:rPr>
      <w:vertAlign w:val="superscript"/>
    </w:rPr>
  </w:style>
  <w:style w:type="table" w:customStyle="1" w:styleId="TableGrid1">
    <w:name w:val="Table Grid1"/>
    <w:basedOn w:val="TableNormal"/>
    <w:next w:val="TableGrid"/>
    <w:uiPriority w:val="39"/>
    <w:rsid w:val="00797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6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887C-6FD2-4776-8D9F-36B9E7F8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https://mul2-moj.gov.am/tasks/1151879/oneclick?token=7cfcbc82cd2b31c7b936aa3538627932</cp:keywords>
  <dc:description/>
  <cp:lastModifiedBy/>
  <cp:revision>1</cp:revision>
  <dcterms:created xsi:type="dcterms:W3CDTF">2026-04-07T10:39:00Z</dcterms:created>
  <dcterms:modified xsi:type="dcterms:W3CDTF">2026-04-08T05:44:00Z</dcterms:modified>
</cp:coreProperties>
</file>